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40"/>
      </w:pPr>
      <w:r>
        <w:rPr>
          <w:rFonts w:ascii="Inter" w:hAnsi="Inter"/>
          <w:b/>
          <w:color w:val="1D1F20"/>
          <w:sz w:val="58"/>
        </w:rPr>
        <w:t>Digital Forensics Intake Kit</w:t>
      </w:r>
    </w:p>
    <w:p>
      <w:pPr>
        <w:keepNext/>
        <w:spacing w:before="0" w:after="160"/>
      </w:pPr>
      <w:r>
        <w:rPr>
          <w:rFonts w:ascii="Inter" w:hAnsi="Inter"/>
          <w:i/>
          <w:color w:val="646A6E"/>
          <w:sz w:val="21"/>
        </w:rPr>
        <w:t>Implementation guide for forensic units and agency administrators</w:t>
      </w:r>
    </w:p>
    <w:tbl>
      <w:tblPr>
        <w:tblW w:type="auto" w:w="0"/>
        <w:jc w:val="center"/>
        <w:tblLook w:firstColumn="1" w:firstRow="1" w:lastColumn="0" w:lastRow="0" w:noHBand="0" w:noVBand="1" w:val="04A0"/>
      </w:tblPr>
      <w:tblGrid>
        <w:gridCol w:w="10454"/>
      </w:tblGrid>
      <w:tr>
        <w:tc>
          <w:tcPr>
            <w:tcW w:type="dxa" w:w="10454"/>
            <w:tcMar>
              <w:top w:w="120" w:type="dxa"/>
              <w:start w:w="150" w:type="dxa"/>
              <w:bottom w:w="120" w:type="dxa"/>
              <w:end w:w="150" w:type="dxa"/>
            </w:tcMar>
            <w:shd w:fill="1D1F20"/>
            <w:tcBorders>
              <w:top w:val="single" w:sz="8" w:color="9B7438"/>
              <w:left w:val="single" w:sz="4" w:color="C9C2B6"/>
              <w:bottom w:val="single" w:sz="4" w:color="C9C2B6"/>
              <w:right w:val="single" w:sz="4" w:color="C9C2B6"/>
            </w:tcBorders>
          </w:tcPr>
          <w:p>
            <w:pPr>
              <w:spacing w:after="40"/>
            </w:pPr>
            <w:r>
              <w:rPr>
                <w:rFonts w:ascii="Inter" w:hAnsi="Inter"/>
                <w:b/>
                <w:color w:val="9B7438"/>
                <w:sz w:val="15"/>
              </w:rPr>
              <w:t>PURPOSE</w:t>
            </w:r>
          </w:p>
          <w:p>
            <w:pPr>
              <w:spacing w:after="0"/>
            </w:pPr>
            <w:r>
              <w:rPr>
                <w:rFonts w:ascii="Inter" w:hAnsi="Inter"/>
                <w:b/>
                <w:color w:val="FFFFFF"/>
                <w:sz w:val="20"/>
              </w:rPr>
              <w:t>This guide helps a unit adapt the intake form and requester guide to its actual authority, services, routing, evidence systems, records obligations, and approval structure. It is not a universal policy or legal form.</w:t>
            </w:r>
          </w:p>
        </w:tc>
      </w:tr>
    </w:tbl>
    <w:tbl>
      <w:tblPr>
        <w:tblW w:type="auto" w:w="0"/>
        <w:jc w:val="center"/>
        <w:tblLayout w:type="fixed"/>
        <w:tblLook w:firstColumn="1" w:firstRow="1" w:lastColumn="0" w:lastRow="0" w:noHBand="0" w:noVBand="1" w:val="04A0"/>
      </w:tblPr>
      <w:tblGrid>
        <w:gridCol w:w="691"/>
        <w:gridCol w:w="9749"/>
      </w:tblGrid>
      <w:tr>
        <w:tc>
          <w:tcPr>
            <w:tcW w:type="dxa" w:w="5227"/>
            <w:shd w:fill="9B7438"/>
            <w:vAlign w:val="center"/>
            <w:tcMar>
              <w:top w:w="70" w:type="dxa"/>
              <w:start w:w="95" w:type="dxa"/>
              <w:bottom w:w="70" w:type="dxa"/>
              <w:end w:w="95" w:type="dxa"/>
            </w:tcMar>
            <w:tcBorders>
              <w:top w:val="nil"/>
              <w:left w:val="nil"/>
              <w:bottom w:val="nil"/>
              <w:right w:val="nil"/>
            </w:tcBorders>
          </w:tcPr>
          <w:p>
            <w:pPr>
              <w:jc w:val="center"/>
            </w:pPr>
            <w:r>
              <w:rPr>
                <w:rFonts w:ascii="Inter" w:hAnsi="Inter"/>
                <w:b/>
                <w:color w:val="FFFFFF"/>
                <w:sz w:val="16"/>
              </w:rPr>
              <w:t>01</w:t>
            </w:r>
          </w:p>
        </w:tc>
        <w:tc>
          <w:tcPr>
            <w:tcW w:type="dxa" w:w="5227"/>
            <w:shd w:fill="1D1F20"/>
            <w:vAlign w:val="center"/>
            <w:tcMar>
              <w:top w:w="70" w:type="dxa"/>
              <w:start w:w="95" w:type="dxa"/>
              <w:bottom w:w="70" w:type="dxa"/>
              <w:end w:w="95" w:type="dxa"/>
            </w:tcMar>
            <w:tcBorders>
              <w:top w:val="nil"/>
              <w:left w:val="nil"/>
              <w:bottom w:val="nil"/>
              <w:right w:val="nil"/>
            </w:tcBorders>
          </w:tcPr>
          <w:p>
            <w:r>
              <w:rPr>
                <w:rFonts w:ascii="Inter" w:hAnsi="Inter"/>
                <w:b/>
                <w:color w:val="FFFFFF"/>
                <w:sz w:val="18"/>
              </w:rPr>
              <w:t>DECIDE WHAT THE INTAKE MUST ACCOMPLISH</w:t>
            </w:r>
          </w:p>
        </w:tc>
      </w:tr>
    </w:tbl>
    <w:p>
      <w:pPr>
        <w:spacing w:after="0"/>
      </w:pPr>
    </w:p>
    <w:p>
      <w:pPr>
        <w:spacing w:after="100"/>
      </w:pPr>
      <w:r>
        <w:t>The form should create a reliable handoff between the person who understands the investigation and the person who must examine the evidence. It should reduce avoidable clarification without asking requesters to make forensic decisions they are not equipped to make.</w:t>
      </w:r>
    </w:p>
    <w:tbl>
      <w:tblPr>
        <w:tblW w:type="auto" w:w="0"/>
        <w:jc w:val="center"/>
        <w:tblLayout w:type="fixed"/>
        <w:tblLook w:firstColumn="1" w:firstRow="1" w:lastColumn="0" w:lastRow="0" w:noHBand="0" w:noVBand="1" w:val="04A0"/>
      </w:tblPr>
      <w:tblGrid>
        <w:gridCol w:w="5155"/>
        <w:gridCol w:w="5155"/>
      </w:tblGrid>
      <w:tr>
        <w:tc>
          <w:tcPr>
            <w:tcW w:type="dxa" w:w="5227"/>
            <w:shd w:fill="1D1F20"/>
            <w:tcMar>
              <w:top w:w="80" w:type="dxa"/>
              <w:start w:w="110" w:type="dxa"/>
              <w:bottom w:w="80" w:type="dxa"/>
              <w:end w:w="110" w:type="dxa"/>
            </w:tcMar>
          </w:tcPr>
          <w:p>
            <w:r>
              <w:rPr>
                <w:rFonts w:ascii="Inter" w:hAnsi="Inter"/>
                <w:b/>
                <w:color w:val="FFFFFF"/>
                <w:sz w:val="16"/>
              </w:rPr>
              <w:t>THE INTAKE SHOULD CAPTURE</w:t>
            </w:r>
          </w:p>
        </w:tc>
        <w:tc>
          <w:tcPr>
            <w:tcW w:type="dxa" w:w="5227"/>
            <w:shd w:fill="1D1F20"/>
            <w:tcMar>
              <w:top w:w="80" w:type="dxa"/>
              <w:start w:w="110" w:type="dxa"/>
              <w:bottom w:w="80" w:type="dxa"/>
              <w:end w:w="110" w:type="dxa"/>
            </w:tcMar>
          </w:tcPr>
          <w:p>
            <w:r>
              <w:rPr>
                <w:rFonts w:ascii="Inter" w:hAnsi="Inter"/>
                <w:b/>
                <w:color w:val="FFFFFF"/>
                <w:sz w:val="16"/>
              </w:rPr>
              <w:t>THE INTAKE SHOULD NOT ATTEMPT TO</w:t>
            </w:r>
          </w:p>
        </w:tc>
      </w:tr>
      <w:tr>
        <w:tc>
          <w:tcPr>
            <w:tcW w:type="dxa" w:w="5227"/>
            <w:tcMar>
              <w:top w:w="100" w:type="dxa"/>
              <w:start w:w="120" w:type="dxa"/>
              <w:bottom w:w="90" w:type="dxa"/>
              <w:end w:w="120" w:type="dxa"/>
            </w:tcMar>
            <w:shd w:fill="FAF9F6"/>
            <w:tcBorders>
              <w:top w:val="single" w:sz="4" w:color="C9C2B6"/>
              <w:left w:val="single" w:sz="4" w:color="C9C2B6"/>
              <w:bottom w:val="single" w:sz="4" w:color="C9C2B6"/>
              <w:right w:val="single" w:sz="4" w:color="C9C2B6"/>
            </w:tcBorders>
          </w:tcPr>
          <w:p>
            <w:pPr>
              <w:spacing w:after="60"/>
              <w:ind w:left="202" w:hanging="173"/>
            </w:pPr>
            <w:r>
              <w:rPr>
                <w:rFonts w:ascii="Inter" w:hAnsi="Inter"/>
                <w:color w:val="9B7438"/>
                <w:sz w:val="17"/>
              </w:rPr>
              <w:t xml:space="preserve">• </w:t>
            </w:r>
            <w:r>
              <w:rPr>
                <w:rFonts w:ascii="Inter" w:hAnsi="Inter"/>
                <w:color w:val="1D1F20"/>
                <w:sz w:val="17"/>
              </w:rPr>
              <w:t>Who is requesting the work and how to reach them.</w:t>
            </w:r>
          </w:p>
          <w:p>
            <w:pPr>
              <w:spacing w:after="60"/>
              <w:ind w:left="202" w:hanging="173"/>
            </w:pPr>
            <w:r>
              <w:rPr>
                <w:rFonts w:ascii="Inter" w:hAnsi="Inter"/>
                <w:color w:val="9B7438"/>
                <w:sz w:val="17"/>
              </w:rPr>
              <w:t xml:space="preserve">• </w:t>
            </w:r>
            <w:r>
              <w:rPr>
                <w:rFonts w:ascii="Inter" w:hAnsi="Inter"/>
                <w:color w:val="1D1F20"/>
                <w:sz w:val="17"/>
              </w:rPr>
              <w:t>The authority, scope, limits, and location of supporting documentation.</w:t>
            </w:r>
          </w:p>
          <w:p>
            <w:pPr>
              <w:spacing w:after="60"/>
              <w:ind w:left="202" w:hanging="173"/>
            </w:pPr>
            <w:r>
              <w:rPr>
                <w:rFonts w:ascii="Inter" w:hAnsi="Inter"/>
                <w:color w:val="9B7438"/>
                <w:sz w:val="17"/>
              </w:rPr>
              <w:t xml:space="preserve">• </w:t>
            </w:r>
            <w:r>
              <w:rPr>
                <w:rFonts w:ascii="Inter" w:hAnsi="Inter"/>
                <w:color w:val="1D1F20"/>
                <w:sz w:val="17"/>
              </w:rPr>
              <w:t>The question the examination should help answer.</w:t>
            </w:r>
          </w:p>
          <w:p>
            <w:pPr>
              <w:spacing w:after="60"/>
              <w:ind w:left="202" w:hanging="173"/>
            </w:pPr>
            <w:r>
              <w:rPr>
                <w:rFonts w:ascii="Inter" w:hAnsi="Inter"/>
                <w:color w:val="9B7438"/>
                <w:sz w:val="17"/>
              </w:rPr>
              <w:t xml:space="preserve">• </w:t>
            </w:r>
            <w:r>
              <w:rPr>
                <w:rFonts w:ascii="Inter" w:hAnsi="Inter"/>
                <w:color w:val="1D1F20"/>
                <w:sz w:val="17"/>
              </w:rPr>
              <w:t>Submitted items, identifiers, condition, handling, and known access information.</w:t>
            </w:r>
          </w:p>
          <w:p>
            <w:pPr>
              <w:spacing w:after="60"/>
              <w:ind w:left="202" w:hanging="173"/>
            </w:pPr>
            <w:r>
              <w:rPr>
                <w:rFonts w:ascii="Inter" w:hAnsi="Inter"/>
                <w:color w:val="9B7438"/>
                <w:sz w:val="17"/>
              </w:rPr>
              <w:t xml:space="preserve">• </w:t>
            </w:r>
            <w:r>
              <w:rPr>
                <w:rFonts w:ascii="Inter" w:hAnsi="Inter"/>
                <w:color w:val="1D1F20"/>
                <w:sz w:val="17"/>
              </w:rPr>
              <w:t>Targets, date ranges, known accounts, relevant context, and urgency.</w:t>
            </w:r>
          </w:p>
        </w:tc>
        <w:tc>
          <w:tcPr>
            <w:tcW w:type="dxa" w:w="5227"/>
            <w:tcMar>
              <w:top w:w="100" w:type="dxa"/>
              <w:start w:w="120" w:type="dxa"/>
              <w:bottom w:w="90" w:type="dxa"/>
              <w:end w:w="120" w:type="dxa"/>
            </w:tcMar>
            <w:shd w:fill="FAF9F6"/>
            <w:tcBorders>
              <w:top w:val="single" w:sz="4" w:color="C9C2B6"/>
              <w:left w:val="single" w:sz="4" w:color="C9C2B6"/>
              <w:bottom w:val="single" w:sz="4" w:color="C9C2B6"/>
              <w:right w:val="single" w:sz="4" w:color="C9C2B6"/>
            </w:tcBorders>
          </w:tcPr>
          <w:p>
            <w:pPr>
              <w:spacing w:after="60"/>
              <w:ind w:left="202" w:hanging="173"/>
            </w:pPr>
            <w:r>
              <w:rPr>
                <w:rFonts w:ascii="Inter" w:hAnsi="Inter"/>
                <w:color w:val="9B7438"/>
                <w:sz w:val="17"/>
              </w:rPr>
              <w:t xml:space="preserve">• </w:t>
            </w:r>
            <w:r>
              <w:rPr>
                <w:rFonts w:ascii="Inter" w:hAnsi="Inter"/>
                <w:color w:val="1D1F20"/>
                <w:sz w:val="17"/>
              </w:rPr>
              <w:t>Replace legal review, local policy, or a warrant attachment.</w:t>
            </w:r>
          </w:p>
          <w:p>
            <w:pPr>
              <w:spacing w:after="60"/>
              <w:ind w:left="202" w:hanging="173"/>
            </w:pPr>
            <w:r>
              <w:rPr>
                <w:rFonts w:ascii="Inter" w:hAnsi="Inter"/>
                <w:color w:val="9B7438"/>
                <w:sz w:val="17"/>
              </w:rPr>
              <w:t xml:space="preserve">• </w:t>
            </w:r>
            <w:r>
              <w:rPr>
                <w:rFonts w:ascii="Inter" w:hAnsi="Inter"/>
                <w:color w:val="1D1F20"/>
                <w:sz w:val="17"/>
              </w:rPr>
              <w:t>Guarantee that a particular tool or data source will produce a result.</w:t>
            </w:r>
          </w:p>
          <w:p>
            <w:pPr>
              <w:spacing w:after="60"/>
              <w:ind w:left="202" w:hanging="173"/>
            </w:pPr>
            <w:r>
              <w:rPr>
                <w:rFonts w:ascii="Inter" w:hAnsi="Inter"/>
                <w:color w:val="9B7438"/>
                <w:sz w:val="17"/>
              </w:rPr>
              <w:t xml:space="preserve">• </w:t>
            </w:r>
            <w:r>
              <w:rPr>
                <w:rFonts w:ascii="Inter" w:hAnsi="Inter"/>
                <w:color w:val="1D1F20"/>
                <w:sz w:val="17"/>
              </w:rPr>
              <w:t>Ask requesters to select technical actions without explaining the investigative need.</w:t>
            </w:r>
          </w:p>
          <w:p>
            <w:pPr>
              <w:spacing w:after="60"/>
              <w:ind w:left="202" w:hanging="173"/>
            </w:pPr>
            <w:r>
              <w:rPr>
                <w:rFonts w:ascii="Inter" w:hAnsi="Inter"/>
                <w:color w:val="9B7438"/>
                <w:sz w:val="17"/>
              </w:rPr>
              <w:t xml:space="preserve">• </w:t>
            </w:r>
            <w:r>
              <w:rPr>
                <w:rFonts w:ascii="Inter" w:hAnsi="Inter"/>
                <w:color w:val="1D1F20"/>
                <w:sz w:val="17"/>
              </w:rPr>
              <w:t>Collect passwords or sensitive credentials through an unapproved channel.</w:t>
            </w:r>
          </w:p>
          <w:p>
            <w:pPr>
              <w:spacing w:after="60"/>
              <w:ind w:left="202" w:hanging="173"/>
            </w:pPr>
            <w:r>
              <w:rPr>
                <w:rFonts w:ascii="Inter" w:hAnsi="Inter"/>
                <w:color w:val="9B7438"/>
                <w:sz w:val="17"/>
              </w:rPr>
              <w:t xml:space="preserve">• </w:t>
            </w:r>
            <w:r>
              <w:rPr>
                <w:rFonts w:ascii="Inter" w:hAnsi="Inter"/>
                <w:color w:val="1D1F20"/>
                <w:sz w:val="17"/>
              </w:rPr>
              <w:t>Become so comprehensive that requesters bypass it and return to informal messages.</w:t>
            </w:r>
          </w:p>
        </w:tc>
      </w:tr>
    </w:tbl>
    <w:tbl>
      <w:tblPr>
        <w:tblW w:type="auto" w:w="0"/>
        <w:jc w:val="center"/>
        <w:tblLook w:firstColumn="1" w:firstRow="1" w:lastColumn="0" w:lastRow="0" w:noHBand="0" w:noVBand="1" w:val="04A0"/>
      </w:tblPr>
      <w:tblGrid>
        <w:gridCol w:w="10454"/>
      </w:tblGrid>
      <w:tr>
        <w:tc>
          <w:tcPr>
            <w:tcW w:type="dxa" w:w="10454"/>
            <w:tcMar>
              <w:top w:w="120" w:type="dxa"/>
              <w:start w:w="150" w:type="dxa"/>
              <w:bottom w:w="120" w:type="dxa"/>
              <w:end w:w="150" w:type="dxa"/>
            </w:tcMar>
            <w:shd w:fill="F3EFE6"/>
            <w:tcBorders>
              <w:top w:val="single" w:sz="8" w:color="9B7438"/>
              <w:left w:val="single" w:sz="4" w:color="C9C2B6"/>
              <w:bottom w:val="single" w:sz="4" w:color="C9C2B6"/>
              <w:right w:val="single" w:sz="4" w:color="C9C2B6"/>
            </w:tcBorders>
          </w:tcPr>
          <w:p>
            <w:pPr>
              <w:spacing w:after="40"/>
            </w:pPr>
            <w:r>
              <w:rPr>
                <w:rFonts w:ascii="Inter" w:hAnsi="Inter"/>
                <w:b/>
                <w:color w:val="9B7438"/>
                <w:sz w:val="15"/>
              </w:rPr>
              <w:t>DESIGN TEST</w:t>
            </w:r>
          </w:p>
          <w:p>
            <w:pPr>
              <w:spacing w:after="0"/>
            </w:pPr>
            <w:r>
              <w:rPr>
                <w:rFonts w:ascii="Inter" w:hAnsi="Inter"/>
                <w:b w:val="0"/>
                <w:color w:val="1D1F20"/>
                <w:sz w:val="18"/>
              </w:rPr>
              <w:t>Can the examiner understand the authority, the question, the evidence, the targets, and the immediate risks without reconstructing the request from several emails?</w:t>
            </w:r>
          </w:p>
        </w:tc>
      </w:tr>
    </w:tbl>
    <w:p>
      <w:r>
        <w:br w:type="page"/>
      </w:r>
    </w:p>
    <w:p>
      <w:pPr>
        <w:keepNext/>
        <w:spacing w:before="0" w:after="40"/>
      </w:pPr>
      <w:r>
        <w:rPr>
          <w:rFonts w:ascii="Inter" w:hAnsi="Inter"/>
          <w:b/>
          <w:color w:val="1D1F20"/>
          <w:sz w:val="58"/>
        </w:rPr>
        <w:t>Adapt the Template</w:t>
      </w:r>
    </w:p>
    <w:p>
      <w:pPr>
        <w:keepNext/>
        <w:spacing w:before="0" w:after="160"/>
      </w:pPr>
      <w:r>
        <w:rPr>
          <w:rFonts w:ascii="Inter" w:hAnsi="Inter"/>
          <w:i/>
          <w:color w:val="646A6E"/>
          <w:sz w:val="21"/>
        </w:rPr>
        <w:t>Change the form before it becomes part of the workflow</w:t>
      </w:r>
    </w:p>
    <w:tbl>
      <w:tblPr>
        <w:tblW w:type="auto" w:w="0"/>
        <w:jc w:val="center"/>
        <w:tblLayout w:type="fixed"/>
        <w:tblLook w:firstColumn="1" w:firstRow="1" w:lastColumn="0" w:lastRow="0" w:noHBand="0" w:noVBand="1" w:val="04A0"/>
      </w:tblPr>
      <w:tblGrid>
        <w:gridCol w:w="691"/>
        <w:gridCol w:w="9749"/>
      </w:tblGrid>
      <w:tr>
        <w:tc>
          <w:tcPr>
            <w:tcW w:type="dxa" w:w="5227"/>
            <w:shd w:fill="9B7438"/>
            <w:vAlign w:val="center"/>
            <w:tcMar>
              <w:top w:w="70" w:type="dxa"/>
              <w:start w:w="95" w:type="dxa"/>
              <w:bottom w:w="70" w:type="dxa"/>
              <w:end w:w="95" w:type="dxa"/>
            </w:tcMar>
            <w:tcBorders>
              <w:top w:val="nil"/>
              <w:left w:val="nil"/>
              <w:bottom w:val="nil"/>
              <w:right w:val="nil"/>
            </w:tcBorders>
          </w:tcPr>
          <w:p>
            <w:pPr>
              <w:jc w:val="center"/>
            </w:pPr>
            <w:r>
              <w:rPr>
                <w:rFonts w:ascii="Inter" w:hAnsi="Inter"/>
                <w:b/>
                <w:color w:val="FFFFFF"/>
                <w:sz w:val="16"/>
              </w:rPr>
              <w:t>02</w:t>
            </w:r>
          </w:p>
        </w:tc>
        <w:tc>
          <w:tcPr>
            <w:tcW w:type="dxa" w:w="5227"/>
            <w:shd w:fill="1D1F20"/>
            <w:vAlign w:val="center"/>
            <w:tcMar>
              <w:top w:w="70" w:type="dxa"/>
              <w:start w:w="95" w:type="dxa"/>
              <w:bottom w:w="70" w:type="dxa"/>
              <w:end w:w="95" w:type="dxa"/>
            </w:tcMar>
            <w:tcBorders>
              <w:top w:val="nil"/>
              <w:left w:val="nil"/>
              <w:bottom w:val="nil"/>
              <w:right w:val="nil"/>
            </w:tcBorders>
          </w:tcPr>
          <w:p>
            <w:r>
              <w:rPr>
                <w:rFonts w:ascii="Inter" w:hAnsi="Inter"/>
                <w:b/>
                <w:color w:val="FFFFFF"/>
                <w:sz w:val="18"/>
              </w:rPr>
              <w:t>LOCAL DECISIONS TO MAKE</w:t>
            </w:r>
          </w:p>
        </w:tc>
      </w:tr>
    </w:tbl>
    <w:p>
      <w:pPr>
        <w:spacing w:after="0"/>
      </w:pPr>
    </w:p>
    <w:tbl>
      <w:tblPr>
        <w:tblW w:type="auto" w:w="0"/>
        <w:jc w:val="center"/>
        <w:tblLayout w:type="fixed"/>
        <w:tblLook w:firstColumn="1" w:firstRow="1" w:lastColumn="0" w:lastRow="0" w:noHBand="0" w:noVBand="1" w:val="04A0"/>
      </w:tblPr>
      <w:tblGrid>
        <w:gridCol w:w="2088"/>
        <w:gridCol w:w="8352"/>
      </w:tblGrid>
      <w:tr>
        <w:trPr>
          <w:tblHeader w:val="true"/>
        </w:trPr>
        <w:tc>
          <w:tcPr>
            <w:tcW w:type="dxa" w:w="5227"/>
            <w:shd w:fill="1D1F20"/>
            <w:tcMar>
              <w:top w:w="75" w:type="dxa"/>
              <w:start w:w="100" w:type="dxa"/>
              <w:bottom w:w="75" w:type="dxa"/>
              <w:end w:w="100" w:type="dxa"/>
            </w:tcMar>
          </w:tcPr>
          <w:p>
            <w:r>
              <w:rPr>
                <w:rFonts w:ascii="Inter" w:hAnsi="Inter"/>
                <w:b/>
                <w:color w:val="FFFFFF"/>
                <w:sz w:val="16"/>
              </w:rPr>
              <w:t>DECISION</w:t>
            </w:r>
          </w:p>
        </w:tc>
        <w:tc>
          <w:tcPr>
            <w:tcW w:type="dxa" w:w="5227"/>
            <w:shd w:fill="1D1F20"/>
            <w:tcMar>
              <w:top w:w="75" w:type="dxa"/>
              <w:start w:w="100" w:type="dxa"/>
              <w:bottom w:w="75" w:type="dxa"/>
              <w:end w:w="100" w:type="dxa"/>
            </w:tcMar>
          </w:tcPr>
          <w:p>
            <w:r>
              <w:rPr>
                <w:rFonts w:ascii="Inter" w:hAnsi="Inter"/>
                <w:b/>
                <w:color w:val="FFFFFF"/>
                <w:sz w:val="16"/>
              </w:rPr>
              <w:t>WHAT TO RESOLVE</w:t>
            </w:r>
          </w:p>
        </w:tc>
      </w:tr>
      <w:tr>
        <w:tc>
          <w:tcPr>
            <w:tcW w:type="dxa" w:w="2088"/>
            <w:tcMar>
              <w:top w:w="70" w:type="dxa"/>
              <w:start w:w="100" w:type="dxa"/>
              <w:bottom w:w="70" w:type="dxa"/>
              <w:end w:w="100" w:type="dxa"/>
            </w:tcMar>
            <w:tcBorders>
              <w:left w:val="single" w:sz="4" w:color="C9C2B6"/>
              <w:bottom w:val="single" w:sz="4" w:color="C9C2B6"/>
              <w:right w:val="single" w:sz="4" w:color="C9C2B6"/>
            </w:tcBorders>
            <w:shd w:fill="F8F5EE"/>
          </w:tcPr>
          <w:p>
            <w:r>
              <w:rPr>
                <w:rFonts w:ascii="Inter" w:hAnsi="Inter"/>
                <w:b/>
                <w:sz w:val="16"/>
              </w:rPr>
              <w:t>Agency identity</w:t>
            </w:r>
          </w:p>
        </w:tc>
        <w:tc>
          <w:tcPr>
            <w:tcW w:type="dxa" w:w="8352"/>
            <w:tcMar>
              <w:top w:w="70" w:type="dxa"/>
              <w:start w:w="100" w:type="dxa"/>
              <w:bottom w:w="70" w:type="dxa"/>
              <w:end w:w="100" w:type="dxa"/>
            </w:tcMar>
            <w:tcBorders>
              <w:left w:val="single" w:sz="4" w:color="C9C2B6"/>
              <w:bottom w:val="single" w:sz="4" w:color="C9C2B6"/>
              <w:right w:val="single" w:sz="4" w:color="C9C2B6"/>
            </w:tcBorders>
            <w:shd w:fill="F8F5EE"/>
          </w:tcPr>
          <w:p>
            <w:r>
              <w:rPr>
                <w:rFonts w:ascii="Inter" w:hAnsi="Inter"/>
                <w:sz w:val="16"/>
              </w:rPr>
              <w:t>Add the unit name, routing address, contact information, revision owner, and approved branding.</w:t>
            </w:r>
          </w:p>
        </w:tc>
      </w:tr>
      <w:tr>
        <w:tc>
          <w:tcPr>
            <w:tcW w:type="dxa" w:w="2088"/>
            <w:tcMar>
              <w:top w:w="70" w:type="dxa"/>
              <w:start w:w="100" w:type="dxa"/>
              <w:bottom w:w="70" w:type="dxa"/>
              <w:end w:w="100" w:type="dxa"/>
            </w:tcMar>
            <w:tcBorders>
              <w:left w:val="single" w:sz="4" w:color="C9C2B6"/>
              <w:bottom w:val="single" w:sz="4" w:color="C9C2B6"/>
              <w:right w:val="single" w:sz="4" w:color="C9C2B6"/>
            </w:tcBorders>
          </w:tcPr>
          <w:p>
            <w:r>
              <w:rPr>
                <w:rFonts w:ascii="Inter" w:hAnsi="Inter"/>
                <w:b/>
                <w:sz w:val="16"/>
              </w:rPr>
              <w:t>Authority</w:t>
            </w:r>
          </w:p>
        </w:tc>
        <w:tc>
          <w:tcPr>
            <w:tcW w:type="dxa" w:w="8352"/>
            <w:tcMar>
              <w:top w:w="70" w:type="dxa"/>
              <w:start w:w="100" w:type="dxa"/>
              <w:bottom w:w="70" w:type="dxa"/>
              <w:end w:w="100" w:type="dxa"/>
            </w:tcMar>
            <w:tcBorders>
              <w:left w:val="single" w:sz="4" w:color="C9C2B6"/>
              <w:bottom w:val="single" w:sz="4" w:color="C9C2B6"/>
              <w:right w:val="single" w:sz="4" w:color="C9C2B6"/>
            </w:tcBorders>
          </w:tcPr>
          <w:p>
            <w:r>
              <w:rPr>
                <w:rFonts w:ascii="Inter" w:hAnsi="Inter"/>
                <w:sz w:val="16"/>
              </w:rPr>
              <w:t>Use choices and terminology that match local law, policy, prosecutor expectations, and the work your unit accepts.</w:t>
            </w:r>
          </w:p>
        </w:tc>
      </w:tr>
      <w:tr>
        <w:tc>
          <w:tcPr>
            <w:tcW w:type="dxa" w:w="2088"/>
            <w:tcMar>
              <w:top w:w="70" w:type="dxa"/>
              <w:start w:w="100" w:type="dxa"/>
              <w:bottom w:w="70" w:type="dxa"/>
              <w:end w:w="100" w:type="dxa"/>
            </w:tcMar>
            <w:tcBorders>
              <w:left w:val="single" w:sz="4" w:color="C9C2B6"/>
              <w:bottom w:val="single" w:sz="4" w:color="C9C2B6"/>
              <w:right w:val="single" w:sz="4" w:color="C9C2B6"/>
            </w:tcBorders>
            <w:shd w:fill="F8F5EE"/>
          </w:tcPr>
          <w:p>
            <w:r>
              <w:rPr>
                <w:rFonts w:ascii="Inter" w:hAnsi="Inter"/>
                <w:b/>
                <w:sz w:val="16"/>
              </w:rPr>
              <w:t>Services</w:t>
            </w:r>
          </w:p>
        </w:tc>
        <w:tc>
          <w:tcPr>
            <w:tcW w:type="dxa" w:w="8352"/>
            <w:tcMar>
              <w:top w:w="70" w:type="dxa"/>
              <w:start w:w="100" w:type="dxa"/>
              <w:bottom w:w="70" w:type="dxa"/>
              <w:end w:w="100" w:type="dxa"/>
            </w:tcMar>
            <w:tcBorders>
              <w:left w:val="single" w:sz="4" w:color="C9C2B6"/>
              <w:bottom w:val="single" w:sz="4" w:color="C9C2B6"/>
              <w:right w:val="single" w:sz="4" w:color="C9C2B6"/>
            </w:tcBorders>
            <w:shd w:fill="F8F5EE"/>
          </w:tcPr>
          <w:p>
            <w:r>
              <w:rPr>
                <w:rFonts w:ascii="Inter" w:hAnsi="Inter"/>
                <w:sz w:val="16"/>
              </w:rPr>
              <w:t>Remove services the unit does not offer. Add local categories only when requesters can understand and use them consistently.</w:t>
            </w:r>
          </w:p>
        </w:tc>
      </w:tr>
      <w:tr>
        <w:tc>
          <w:tcPr>
            <w:tcW w:type="dxa" w:w="2088"/>
            <w:tcMar>
              <w:top w:w="70" w:type="dxa"/>
              <w:start w:w="100" w:type="dxa"/>
              <w:bottom w:w="70" w:type="dxa"/>
              <w:end w:w="100" w:type="dxa"/>
            </w:tcMar>
            <w:tcBorders>
              <w:left w:val="single" w:sz="4" w:color="C9C2B6"/>
              <w:bottom w:val="single" w:sz="4" w:color="C9C2B6"/>
              <w:right w:val="single" w:sz="4" w:color="C9C2B6"/>
            </w:tcBorders>
          </w:tcPr>
          <w:p>
            <w:r>
              <w:rPr>
                <w:rFonts w:ascii="Inter" w:hAnsi="Inter"/>
                <w:b/>
                <w:sz w:val="16"/>
              </w:rPr>
              <w:t>Priority</w:t>
            </w:r>
          </w:p>
        </w:tc>
        <w:tc>
          <w:tcPr>
            <w:tcW w:type="dxa" w:w="8352"/>
            <w:tcMar>
              <w:top w:w="70" w:type="dxa"/>
              <w:start w:w="100" w:type="dxa"/>
              <w:bottom w:w="70" w:type="dxa"/>
              <w:end w:w="100" w:type="dxa"/>
            </w:tcMar>
            <w:tcBorders>
              <w:left w:val="single" w:sz="4" w:color="C9C2B6"/>
              <w:bottom w:val="single" w:sz="4" w:color="C9C2B6"/>
              <w:right w:val="single" w:sz="4" w:color="C9C2B6"/>
            </w:tcBorders>
          </w:tcPr>
          <w:p>
            <w:r>
              <w:rPr>
                <w:rFonts w:ascii="Inter" w:hAnsi="Inter"/>
                <w:sz w:val="16"/>
              </w:rPr>
              <w:t>Define what routine, expedited, and emergency mean. Avoid allowing every requested deadline to become a priority by default.</w:t>
            </w:r>
          </w:p>
        </w:tc>
      </w:tr>
      <w:tr>
        <w:tc>
          <w:tcPr>
            <w:tcW w:type="dxa" w:w="2088"/>
            <w:tcMar>
              <w:top w:w="70" w:type="dxa"/>
              <w:start w:w="100" w:type="dxa"/>
              <w:bottom w:w="70" w:type="dxa"/>
              <w:end w:w="100" w:type="dxa"/>
            </w:tcMar>
            <w:tcBorders>
              <w:left w:val="single" w:sz="4" w:color="C9C2B6"/>
              <w:bottom w:val="single" w:sz="4" w:color="C9C2B6"/>
              <w:right w:val="single" w:sz="4" w:color="C9C2B6"/>
            </w:tcBorders>
            <w:shd w:fill="F8F5EE"/>
          </w:tcPr>
          <w:p>
            <w:r>
              <w:rPr>
                <w:rFonts w:ascii="Inter" w:hAnsi="Inter"/>
                <w:b/>
                <w:sz w:val="16"/>
              </w:rPr>
              <w:t>Evidence systems</w:t>
            </w:r>
          </w:p>
        </w:tc>
        <w:tc>
          <w:tcPr>
            <w:tcW w:type="dxa" w:w="8352"/>
            <w:tcMar>
              <w:top w:w="70" w:type="dxa"/>
              <w:start w:w="100" w:type="dxa"/>
              <w:bottom w:w="70" w:type="dxa"/>
              <w:end w:w="100" w:type="dxa"/>
            </w:tcMar>
            <w:tcBorders>
              <w:left w:val="single" w:sz="4" w:color="C9C2B6"/>
              <w:bottom w:val="single" w:sz="4" w:color="C9C2B6"/>
              <w:right w:val="single" w:sz="4" w:color="C9C2B6"/>
            </w:tcBorders>
            <w:shd w:fill="F8F5EE"/>
          </w:tcPr>
          <w:p>
            <w:r>
              <w:rPr>
                <w:rFonts w:ascii="Inter" w:hAnsi="Inter"/>
                <w:sz w:val="16"/>
              </w:rPr>
              <w:t>Add item numbers, transfer records, queue numbers, or case-management identifiers needed to reconcile the request with custody records.</w:t>
            </w:r>
          </w:p>
        </w:tc>
      </w:tr>
      <w:tr>
        <w:tc>
          <w:tcPr>
            <w:tcW w:type="dxa" w:w="2088"/>
            <w:tcMar>
              <w:top w:w="70" w:type="dxa"/>
              <w:start w:w="100" w:type="dxa"/>
              <w:bottom w:w="70" w:type="dxa"/>
              <w:end w:w="100" w:type="dxa"/>
            </w:tcMar>
            <w:tcBorders>
              <w:left w:val="single" w:sz="4" w:color="C9C2B6"/>
              <w:bottom w:val="single" w:sz="4" w:color="C9C2B6"/>
              <w:right w:val="single" w:sz="4" w:color="C9C2B6"/>
            </w:tcBorders>
          </w:tcPr>
          <w:p>
            <w:r>
              <w:rPr>
                <w:rFonts w:ascii="Inter" w:hAnsi="Inter"/>
                <w:b/>
                <w:sz w:val="16"/>
              </w:rPr>
              <w:t>Approvals</w:t>
            </w:r>
          </w:p>
        </w:tc>
        <w:tc>
          <w:tcPr>
            <w:tcW w:type="dxa" w:w="8352"/>
            <w:tcMar>
              <w:top w:w="70" w:type="dxa"/>
              <w:start w:w="100" w:type="dxa"/>
              <w:bottom w:w="70" w:type="dxa"/>
              <w:end w:w="100" w:type="dxa"/>
            </w:tcMar>
            <w:tcBorders>
              <w:left w:val="single" w:sz="4" w:color="C9C2B6"/>
              <w:bottom w:val="single" w:sz="4" w:color="C9C2B6"/>
              <w:right w:val="single" w:sz="4" w:color="C9C2B6"/>
            </w:tcBorders>
          </w:tcPr>
          <w:p>
            <w:r>
              <w:rPr>
                <w:rFonts w:ascii="Inter" w:hAnsi="Inter"/>
                <w:sz w:val="16"/>
              </w:rPr>
              <w:t>Add supervisor, prosecutor, unit, or budget approvals only when they are required and have a clear owner.</w:t>
            </w:r>
          </w:p>
        </w:tc>
      </w:tr>
      <w:tr>
        <w:tc>
          <w:tcPr>
            <w:tcW w:type="dxa" w:w="2088"/>
            <w:tcMar>
              <w:top w:w="70" w:type="dxa"/>
              <w:start w:w="100" w:type="dxa"/>
              <w:bottom w:w="70" w:type="dxa"/>
              <w:end w:w="100" w:type="dxa"/>
            </w:tcMar>
            <w:tcBorders>
              <w:left w:val="single" w:sz="4" w:color="C9C2B6"/>
              <w:bottom w:val="single" w:sz="4" w:color="C9C2B6"/>
              <w:right w:val="single" w:sz="4" w:color="C9C2B6"/>
            </w:tcBorders>
            <w:shd w:fill="F8F5EE"/>
          </w:tcPr>
          <w:p>
            <w:r>
              <w:rPr>
                <w:rFonts w:ascii="Inter" w:hAnsi="Inter"/>
                <w:b/>
                <w:sz w:val="16"/>
              </w:rPr>
              <w:t>Signatures</w:t>
            </w:r>
          </w:p>
        </w:tc>
        <w:tc>
          <w:tcPr>
            <w:tcW w:type="dxa" w:w="8352"/>
            <w:tcMar>
              <w:top w:w="70" w:type="dxa"/>
              <w:start w:w="100" w:type="dxa"/>
              <w:bottom w:w="70" w:type="dxa"/>
              <w:end w:w="100" w:type="dxa"/>
            </w:tcMar>
            <w:tcBorders>
              <w:left w:val="single" w:sz="4" w:color="C9C2B6"/>
              <w:bottom w:val="single" w:sz="4" w:color="C9C2B6"/>
              <w:right w:val="single" w:sz="4" w:color="C9C2B6"/>
            </w:tcBorders>
            <w:shd w:fill="F8F5EE"/>
          </w:tcPr>
          <w:p>
            <w:r>
              <w:rPr>
                <w:rFonts w:ascii="Inter" w:hAnsi="Inter"/>
                <w:sz w:val="16"/>
              </w:rPr>
              <w:t>Decide whether signatures are required, whether electronic acknowledgment is accepted, and where the completed intake becomes a record.</w:t>
            </w:r>
          </w:p>
        </w:tc>
      </w:tr>
      <w:tr>
        <w:tc>
          <w:tcPr>
            <w:tcW w:type="dxa" w:w="2088"/>
            <w:tcMar>
              <w:top w:w="70" w:type="dxa"/>
              <w:start w:w="100" w:type="dxa"/>
              <w:bottom w:w="70" w:type="dxa"/>
              <w:end w:w="100" w:type="dxa"/>
            </w:tcMar>
            <w:tcBorders>
              <w:left w:val="single" w:sz="4" w:color="C9C2B6"/>
              <w:bottom w:val="single" w:sz="4" w:color="C9C2B6"/>
              <w:right w:val="single" w:sz="4" w:color="C9C2B6"/>
            </w:tcBorders>
          </w:tcPr>
          <w:p>
            <w:r>
              <w:rPr>
                <w:rFonts w:ascii="Inter" w:hAnsi="Inter"/>
                <w:b/>
                <w:sz w:val="16"/>
              </w:rPr>
              <w:t>Format and viewer</w:t>
            </w:r>
          </w:p>
        </w:tc>
        <w:tc>
          <w:tcPr>
            <w:tcW w:type="dxa" w:w="8352"/>
            <w:tcMar>
              <w:top w:w="70" w:type="dxa"/>
              <w:start w:w="100" w:type="dxa"/>
              <w:bottom w:w="70" w:type="dxa"/>
              <w:end w:w="100" w:type="dxa"/>
            </w:tcMar>
            <w:tcBorders>
              <w:left w:val="single" w:sz="4" w:color="C9C2B6"/>
              <w:bottom w:val="single" w:sz="4" w:color="C9C2B6"/>
              <w:right w:val="single" w:sz="4" w:color="C9C2B6"/>
            </w:tcBorders>
          </w:tcPr>
          <w:p>
            <w:r>
              <w:rPr>
                <w:rFonts w:ascii="Inter" w:hAnsi="Inter"/>
                <w:sz w:val="16"/>
              </w:rPr>
              <w:t>Choose whether requesters use the print PDF, local fillable PDF, or an adapted agency form. Test saving, reopening, printing, and routing in the approved PDF viewer before publication.</w:t>
            </w:r>
          </w:p>
        </w:tc>
      </w:tr>
      <w:tr>
        <w:tc>
          <w:tcPr>
            <w:tcW w:type="dxa" w:w="2088"/>
            <w:tcMar>
              <w:top w:w="70" w:type="dxa"/>
              <w:start w:w="100" w:type="dxa"/>
              <w:bottom w:w="70" w:type="dxa"/>
              <w:end w:w="100" w:type="dxa"/>
            </w:tcMar>
            <w:tcBorders>
              <w:left w:val="single" w:sz="4" w:color="C9C2B6"/>
              <w:bottom w:val="single" w:sz="4" w:color="C9C2B6"/>
              <w:right w:val="single" w:sz="4" w:color="C9C2B6"/>
            </w:tcBorders>
            <w:shd w:fill="F8F5EE"/>
          </w:tcPr>
          <w:p>
            <w:r>
              <w:rPr>
                <w:rFonts w:ascii="Inter" w:hAnsi="Inter"/>
                <w:b/>
                <w:sz w:val="16"/>
              </w:rPr>
              <w:t>Credentials</w:t>
            </w:r>
          </w:p>
        </w:tc>
        <w:tc>
          <w:tcPr>
            <w:tcW w:type="dxa" w:w="8352"/>
            <w:tcMar>
              <w:top w:w="70" w:type="dxa"/>
              <w:start w:w="100" w:type="dxa"/>
              <w:bottom w:w="70" w:type="dxa"/>
              <w:end w:w="100" w:type="dxa"/>
            </w:tcMar>
            <w:tcBorders>
              <w:left w:val="single" w:sz="4" w:color="C9C2B6"/>
              <w:bottom w:val="single" w:sz="4" w:color="C9C2B6"/>
              <w:right w:val="single" w:sz="4" w:color="C9C2B6"/>
            </w:tcBorders>
            <w:shd w:fill="F8F5EE"/>
          </w:tcPr>
          <w:p>
            <w:r>
              <w:rPr>
                <w:rFonts w:ascii="Inter" w:hAnsi="Inter"/>
                <w:sz w:val="16"/>
              </w:rPr>
              <w:t>State the approved channel for passcodes and account credentials. The form should never invite sensitive values into an unsecured workflow.</w:t>
            </w:r>
          </w:p>
        </w:tc>
      </w:tr>
    </w:tbl>
    <w:tbl>
      <w:tblPr>
        <w:tblW w:type="auto" w:w="0"/>
        <w:jc w:val="center"/>
        <w:tblLook w:firstColumn="1" w:firstRow="1" w:lastColumn="0" w:lastRow="0" w:noHBand="0" w:noVBand="1" w:val="04A0"/>
      </w:tblPr>
      <w:tblGrid>
        <w:gridCol w:w="10454"/>
      </w:tblGrid>
      <w:tr>
        <w:tc>
          <w:tcPr>
            <w:tcW w:type="dxa" w:w="10454"/>
            <w:tcMar>
              <w:top w:w="120" w:type="dxa"/>
              <w:start w:w="150" w:type="dxa"/>
              <w:bottom w:w="120" w:type="dxa"/>
              <w:end w:w="150" w:type="dxa"/>
            </w:tcMar>
            <w:shd w:fill="F3EFE6"/>
            <w:tcBorders>
              <w:top w:val="single" w:sz="8" w:color="9B7438"/>
              <w:left w:val="single" w:sz="4" w:color="C9C2B6"/>
              <w:bottom w:val="single" w:sz="4" w:color="C9C2B6"/>
              <w:right w:val="single" w:sz="4" w:color="C9C2B6"/>
            </w:tcBorders>
          </w:tcPr>
          <w:p>
            <w:pPr>
              <w:spacing w:after="40"/>
            </w:pPr>
            <w:r>
              <w:rPr>
                <w:rFonts w:ascii="Inter" w:hAnsi="Inter"/>
                <w:b/>
                <w:color w:val="9B7438"/>
                <w:sz w:val="15"/>
              </w:rPr>
              <w:t>KEEP THE FORM SHORT ENOUGH TO USE</w:t>
            </w:r>
          </w:p>
          <w:p>
            <w:pPr>
              <w:spacing w:after="0"/>
            </w:pPr>
            <w:r>
              <w:rPr>
                <w:rFonts w:ascii="Inter" w:hAnsi="Inter"/>
                <w:b w:val="0"/>
                <w:color w:val="1D1F20"/>
                <w:sz w:val="18"/>
              </w:rPr>
              <w:t>A field earns its place only when someone uses the answer to route, scope, preserve, prioritize, examine, document, or accept the request.</w:t>
            </w:r>
          </w:p>
        </w:tc>
      </w:tr>
    </w:tbl>
    <w:tbl>
      <w:tblPr>
        <w:tblW w:type="auto" w:w="0"/>
        <w:jc w:val="center"/>
        <w:tblLook w:firstColumn="1" w:firstRow="1" w:lastColumn="0" w:lastRow="0" w:noHBand="0" w:noVBand="1" w:val="04A0"/>
      </w:tblPr>
      <w:tblGrid>
        <w:gridCol w:w="10454"/>
      </w:tblGrid>
      <w:tr>
        <w:tc>
          <w:tcPr>
            <w:tcW w:type="dxa" w:w="10454"/>
            <w:tcMar>
              <w:top w:w="120" w:type="dxa"/>
              <w:start w:w="150" w:type="dxa"/>
              <w:bottom w:w="120" w:type="dxa"/>
              <w:end w:w="150" w:type="dxa"/>
            </w:tcMar>
            <w:shd w:fill="F3EFE6"/>
            <w:tcBorders>
              <w:top w:val="single" w:sz="8" w:color="9B7438"/>
              <w:left w:val="single" w:sz="4" w:color="C9C2B6"/>
              <w:bottom w:val="single" w:sz="4" w:color="C9C2B6"/>
              <w:right w:val="single" w:sz="4" w:color="C9C2B6"/>
            </w:tcBorders>
          </w:tcPr>
          <w:p>
            <w:pPr>
              <w:spacing w:after="40"/>
            </w:pPr>
            <w:r>
              <w:rPr>
                <w:rFonts w:ascii="Inter" w:hAnsi="Inter"/>
                <w:b/>
                <w:color w:val="9B7438"/>
                <w:sz w:val="15"/>
              </w:rPr>
              <w:t>THE FILLABLE EDITION STAYS LOCAL</w:t>
            </w:r>
          </w:p>
          <w:p>
            <w:pPr>
              <w:spacing w:after="0"/>
            </w:pPr>
            <w:r>
              <w:rPr>
                <w:rFonts w:ascii="Inter" w:hAnsi="Inter"/>
                <w:b w:val="0"/>
                <w:color w:val="1D1F20"/>
                <w:sz w:val="18"/>
              </w:rPr>
              <w:t>The Forge &amp; Verse fillable PDF contains no automatic submission action, JavaScript, telemetry, or connection to the studio. The adopting agency still decides where completed files are stored, transmitted, retained, and protected.</w:t>
            </w:r>
          </w:p>
        </w:tc>
      </w:tr>
    </w:tbl>
    <w:p>
      <w:r>
        <w:br w:type="page"/>
      </w:r>
    </w:p>
    <w:p>
      <w:pPr>
        <w:keepNext/>
        <w:spacing w:before="0" w:after="40"/>
      </w:pPr>
      <w:r>
        <w:rPr>
          <w:rFonts w:ascii="Inter" w:hAnsi="Inter"/>
          <w:b/>
          <w:color w:val="1D1F20"/>
          <w:sz w:val="58"/>
        </w:rPr>
        <w:t>Roll It Out Deliberately</w:t>
      </w:r>
    </w:p>
    <w:p>
      <w:pPr>
        <w:keepNext/>
        <w:spacing w:before="0" w:after="160"/>
      </w:pPr>
      <w:r>
        <w:rPr>
          <w:rFonts w:ascii="Inter" w:hAnsi="Inter"/>
          <w:i/>
          <w:color w:val="646A6E"/>
          <w:sz w:val="21"/>
        </w:rPr>
        <w:t>A form succeeds when the surrounding handoff is clear</w:t>
      </w:r>
    </w:p>
    <w:tbl>
      <w:tblPr>
        <w:tblW w:type="auto" w:w="0"/>
        <w:jc w:val="center"/>
        <w:tblLayout w:type="fixed"/>
        <w:tblLook w:firstColumn="1" w:firstRow="1" w:lastColumn="0" w:lastRow="0" w:noHBand="0" w:noVBand="1" w:val="04A0"/>
      </w:tblPr>
      <w:tblGrid>
        <w:gridCol w:w="691"/>
        <w:gridCol w:w="9749"/>
      </w:tblGrid>
      <w:tr>
        <w:tc>
          <w:tcPr>
            <w:tcW w:type="dxa" w:w="5227"/>
            <w:shd w:fill="9B7438"/>
            <w:vAlign w:val="center"/>
            <w:tcMar>
              <w:top w:w="70" w:type="dxa"/>
              <w:start w:w="95" w:type="dxa"/>
              <w:bottom w:w="70" w:type="dxa"/>
              <w:end w:w="95" w:type="dxa"/>
            </w:tcMar>
            <w:tcBorders>
              <w:top w:val="nil"/>
              <w:left w:val="nil"/>
              <w:bottom w:val="nil"/>
              <w:right w:val="nil"/>
            </w:tcBorders>
          </w:tcPr>
          <w:p>
            <w:pPr>
              <w:jc w:val="center"/>
            </w:pPr>
            <w:r>
              <w:rPr>
                <w:rFonts w:ascii="Inter" w:hAnsi="Inter"/>
                <w:b/>
                <w:color w:val="FFFFFF"/>
                <w:sz w:val="16"/>
              </w:rPr>
              <w:t>03</w:t>
            </w:r>
          </w:p>
        </w:tc>
        <w:tc>
          <w:tcPr>
            <w:tcW w:type="dxa" w:w="5227"/>
            <w:shd w:fill="1D1F20"/>
            <w:vAlign w:val="center"/>
            <w:tcMar>
              <w:top w:w="70" w:type="dxa"/>
              <w:start w:w="95" w:type="dxa"/>
              <w:bottom w:w="70" w:type="dxa"/>
              <w:end w:w="95" w:type="dxa"/>
            </w:tcMar>
            <w:tcBorders>
              <w:top w:val="nil"/>
              <w:left w:val="nil"/>
              <w:bottom w:val="nil"/>
              <w:right w:val="nil"/>
            </w:tcBorders>
          </w:tcPr>
          <w:p>
            <w:r>
              <w:rPr>
                <w:rFonts w:ascii="Inter" w:hAnsi="Inter"/>
                <w:b/>
                <w:color w:val="FFFFFF"/>
                <w:sz w:val="18"/>
              </w:rPr>
              <w:t>SUGGESTED ADOPTION PATH</w:t>
            </w:r>
          </w:p>
        </w:tc>
      </w:tr>
    </w:tbl>
    <w:p>
      <w:pPr>
        <w:spacing w:after="0"/>
      </w:pPr>
    </w:p>
    <w:tbl>
      <w:tblPr>
        <w:tblW w:type="auto" w:w="0"/>
        <w:jc w:val="center"/>
        <w:tblLayout w:type="fixed"/>
        <w:tblLook w:firstColumn="1" w:firstRow="1" w:lastColumn="0" w:lastRow="0" w:noHBand="0" w:noVBand="1" w:val="04A0"/>
      </w:tblPr>
      <w:tblGrid>
        <w:gridCol w:w="778"/>
        <w:gridCol w:w="9662"/>
      </w:tblGrid>
      <w:tr>
        <w:tc>
          <w:tcPr>
            <w:tcW w:type="dxa" w:w="5227"/>
            <w:shd w:fill="9B7438"/>
            <w:tcMar>
              <w:top w:w="80" w:type="dxa"/>
              <w:start w:w="30" w:type="dxa"/>
              <w:bottom w:w="80" w:type="dxa"/>
              <w:end w:w="30" w:type="dxa"/>
            </w:tcMar>
          </w:tcPr>
          <w:p>
            <w:pPr>
              <w:jc w:val="center"/>
            </w:pPr>
            <w:r>
              <w:rPr>
                <w:rFonts w:ascii="Inter" w:hAnsi="Inter"/>
                <w:b/>
                <w:color w:val="FFFFFF"/>
                <w:sz w:val="17"/>
              </w:rPr>
              <w:t>01</w:t>
            </w:r>
          </w:p>
        </w:tc>
        <w:tc>
          <w:tcPr>
            <w:tcW w:type="dxa" w:w="5227"/>
            <w:shd w:fill="FAF9F6"/>
            <w:tcMar>
              <w:top w:w="80" w:type="dxa"/>
              <w:start w:w="110" w:type="dxa"/>
              <w:bottom w:w="80" w:type="dxa"/>
              <w:end w:w="110" w:type="dxa"/>
            </w:tcMar>
          </w:tcPr>
          <w:p>
            <w:r>
              <w:rPr>
                <w:rFonts w:ascii="Inter" w:hAnsi="Inter"/>
                <w:b/>
                <w:sz w:val="17"/>
              </w:rPr>
              <w:t xml:space="preserve">Assign an owner  </w:t>
            </w:r>
            <w:r>
              <w:rPr>
                <w:rFonts w:ascii="Inter" w:hAnsi="Inter"/>
                <w:color w:val="646A6E"/>
                <w:sz w:val="16"/>
              </w:rPr>
              <w:t>Name the person or role responsible for the current version, approved changes, and the authoritative download location.</w:t>
            </w:r>
          </w:p>
        </w:tc>
      </w:tr>
    </w:tbl>
    <w:p>
      <w:pPr>
        <w:spacing w:after="0"/>
      </w:pPr>
    </w:p>
    <w:tbl>
      <w:tblPr>
        <w:tblW w:type="auto" w:w="0"/>
        <w:jc w:val="center"/>
        <w:tblLayout w:type="fixed"/>
        <w:tblLook w:firstColumn="1" w:firstRow="1" w:lastColumn="0" w:lastRow="0" w:noHBand="0" w:noVBand="1" w:val="04A0"/>
      </w:tblPr>
      <w:tblGrid>
        <w:gridCol w:w="778"/>
        <w:gridCol w:w="9662"/>
      </w:tblGrid>
      <w:tr>
        <w:tc>
          <w:tcPr>
            <w:tcW w:type="dxa" w:w="5227"/>
            <w:shd w:fill="9B7438"/>
            <w:tcMar>
              <w:top w:w="80" w:type="dxa"/>
              <w:start w:w="30" w:type="dxa"/>
              <w:bottom w:w="80" w:type="dxa"/>
              <w:end w:w="30" w:type="dxa"/>
            </w:tcMar>
          </w:tcPr>
          <w:p>
            <w:pPr>
              <w:jc w:val="center"/>
            </w:pPr>
            <w:r>
              <w:rPr>
                <w:rFonts w:ascii="Inter" w:hAnsi="Inter"/>
                <w:b/>
                <w:color w:val="FFFFFF"/>
                <w:sz w:val="17"/>
              </w:rPr>
              <w:t>02</w:t>
            </w:r>
          </w:p>
        </w:tc>
        <w:tc>
          <w:tcPr>
            <w:tcW w:type="dxa" w:w="5227"/>
            <w:shd w:fill="FAF9F6"/>
            <w:tcMar>
              <w:top w:w="80" w:type="dxa"/>
              <w:start w:w="110" w:type="dxa"/>
              <w:bottom w:w="80" w:type="dxa"/>
              <w:end w:w="110" w:type="dxa"/>
            </w:tcMar>
          </w:tcPr>
          <w:p>
            <w:r>
              <w:rPr>
                <w:rFonts w:ascii="Inter" w:hAnsi="Inter"/>
                <w:b/>
                <w:sz w:val="17"/>
              </w:rPr>
              <w:t xml:space="preserve">Review the workflow  </w:t>
            </w:r>
            <w:r>
              <w:rPr>
                <w:rFonts w:ascii="Inter" w:hAnsi="Inter"/>
                <w:color w:val="646A6E"/>
                <w:sz w:val="16"/>
              </w:rPr>
              <w:t>Include examiners, investigators, evidence personnel, supervisors, records staff, legal counsel, and any team that must act on the form.</w:t>
            </w:r>
          </w:p>
        </w:tc>
      </w:tr>
    </w:tbl>
    <w:p>
      <w:pPr>
        <w:spacing w:after="0"/>
      </w:pPr>
    </w:p>
    <w:tbl>
      <w:tblPr>
        <w:tblW w:type="auto" w:w="0"/>
        <w:jc w:val="center"/>
        <w:tblLayout w:type="fixed"/>
        <w:tblLook w:firstColumn="1" w:firstRow="1" w:lastColumn="0" w:lastRow="0" w:noHBand="0" w:noVBand="1" w:val="04A0"/>
      </w:tblPr>
      <w:tblGrid>
        <w:gridCol w:w="778"/>
        <w:gridCol w:w="9662"/>
      </w:tblGrid>
      <w:tr>
        <w:tc>
          <w:tcPr>
            <w:tcW w:type="dxa" w:w="5227"/>
            <w:shd w:fill="9B7438"/>
            <w:tcMar>
              <w:top w:w="80" w:type="dxa"/>
              <w:start w:w="30" w:type="dxa"/>
              <w:bottom w:w="80" w:type="dxa"/>
              <w:end w:w="30" w:type="dxa"/>
            </w:tcMar>
          </w:tcPr>
          <w:p>
            <w:pPr>
              <w:jc w:val="center"/>
            </w:pPr>
            <w:r>
              <w:rPr>
                <w:rFonts w:ascii="Inter" w:hAnsi="Inter"/>
                <w:b/>
                <w:color w:val="FFFFFF"/>
                <w:sz w:val="17"/>
              </w:rPr>
              <w:t>03</w:t>
            </w:r>
          </w:p>
        </w:tc>
        <w:tc>
          <w:tcPr>
            <w:tcW w:type="dxa" w:w="5227"/>
            <w:shd w:fill="FAF9F6"/>
            <w:tcMar>
              <w:top w:w="80" w:type="dxa"/>
              <w:start w:w="110" w:type="dxa"/>
              <w:bottom w:w="80" w:type="dxa"/>
              <w:end w:w="110" w:type="dxa"/>
            </w:tcMar>
          </w:tcPr>
          <w:p>
            <w:r>
              <w:rPr>
                <w:rFonts w:ascii="Inter" w:hAnsi="Inter"/>
                <w:b/>
                <w:sz w:val="17"/>
              </w:rPr>
              <w:t xml:space="preserve">Adapt and test  </w:t>
            </w:r>
            <w:r>
              <w:rPr>
                <w:rFonts w:ascii="Inter" w:hAnsi="Inter"/>
                <w:color w:val="646A6E"/>
                <w:sz w:val="16"/>
              </w:rPr>
              <w:t>Customize the files, then run realistic requests through the full routing and acceptance process. Test saving, reopening, printing, and records handling in the actual approved viewer.</w:t>
            </w:r>
          </w:p>
        </w:tc>
      </w:tr>
    </w:tbl>
    <w:p>
      <w:pPr>
        <w:spacing w:after="0"/>
      </w:pPr>
    </w:p>
    <w:tbl>
      <w:tblPr>
        <w:tblW w:type="auto" w:w="0"/>
        <w:jc w:val="center"/>
        <w:tblLayout w:type="fixed"/>
        <w:tblLook w:firstColumn="1" w:firstRow="1" w:lastColumn="0" w:lastRow="0" w:noHBand="0" w:noVBand="1" w:val="04A0"/>
      </w:tblPr>
      <w:tblGrid>
        <w:gridCol w:w="778"/>
        <w:gridCol w:w="9662"/>
      </w:tblGrid>
      <w:tr>
        <w:tc>
          <w:tcPr>
            <w:tcW w:type="dxa" w:w="5227"/>
            <w:shd w:fill="9B7438"/>
            <w:tcMar>
              <w:top w:w="80" w:type="dxa"/>
              <w:start w:w="30" w:type="dxa"/>
              <w:bottom w:w="80" w:type="dxa"/>
              <w:end w:w="30" w:type="dxa"/>
            </w:tcMar>
          </w:tcPr>
          <w:p>
            <w:pPr>
              <w:jc w:val="center"/>
            </w:pPr>
            <w:r>
              <w:rPr>
                <w:rFonts w:ascii="Inter" w:hAnsi="Inter"/>
                <w:b/>
                <w:color w:val="FFFFFF"/>
                <w:sz w:val="17"/>
              </w:rPr>
              <w:t>04</w:t>
            </w:r>
          </w:p>
        </w:tc>
        <w:tc>
          <w:tcPr>
            <w:tcW w:type="dxa" w:w="5227"/>
            <w:shd w:fill="FAF9F6"/>
            <w:tcMar>
              <w:top w:w="80" w:type="dxa"/>
              <w:start w:w="110" w:type="dxa"/>
              <w:bottom w:w="80" w:type="dxa"/>
              <w:end w:w="110" w:type="dxa"/>
            </w:tcMar>
          </w:tcPr>
          <w:p>
            <w:r>
              <w:rPr>
                <w:rFonts w:ascii="Inter" w:hAnsi="Inter"/>
                <w:b/>
                <w:sz w:val="17"/>
              </w:rPr>
              <w:t xml:space="preserve">Pilot with a small group  </w:t>
            </w:r>
            <w:r>
              <w:rPr>
                <w:rFonts w:ascii="Inter" w:hAnsi="Inter"/>
                <w:color w:val="646A6E"/>
                <w:sz w:val="16"/>
              </w:rPr>
              <w:t>Use a defined pilot period. Track missing information, unclear fields, workarounds, and repeated questions.</w:t>
            </w:r>
          </w:p>
        </w:tc>
      </w:tr>
    </w:tbl>
    <w:p>
      <w:pPr>
        <w:spacing w:after="0"/>
      </w:pPr>
    </w:p>
    <w:tbl>
      <w:tblPr>
        <w:tblW w:type="auto" w:w="0"/>
        <w:jc w:val="center"/>
        <w:tblLayout w:type="fixed"/>
        <w:tblLook w:firstColumn="1" w:firstRow="1" w:lastColumn="0" w:lastRow="0" w:noHBand="0" w:noVBand="1" w:val="04A0"/>
      </w:tblPr>
      <w:tblGrid>
        <w:gridCol w:w="778"/>
        <w:gridCol w:w="9662"/>
      </w:tblGrid>
      <w:tr>
        <w:tc>
          <w:tcPr>
            <w:tcW w:type="dxa" w:w="5227"/>
            <w:shd w:fill="9B7438"/>
            <w:tcMar>
              <w:top w:w="80" w:type="dxa"/>
              <w:start w:w="30" w:type="dxa"/>
              <w:bottom w:w="80" w:type="dxa"/>
              <w:end w:w="30" w:type="dxa"/>
            </w:tcMar>
          </w:tcPr>
          <w:p>
            <w:pPr>
              <w:jc w:val="center"/>
            </w:pPr>
            <w:r>
              <w:rPr>
                <w:rFonts w:ascii="Inter" w:hAnsi="Inter"/>
                <w:b/>
                <w:color w:val="FFFFFF"/>
                <w:sz w:val="17"/>
              </w:rPr>
              <w:t>05</w:t>
            </w:r>
          </w:p>
        </w:tc>
        <w:tc>
          <w:tcPr>
            <w:tcW w:type="dxa" w:w="5227"/>
            <w:shd w:fill="FAF9F6"/>
            <w:tcMar>
              <w:top w:w="80" w:type="dxa"/>
              <w:start w:w="110" w:type="dxa"/>
              <w:bottom w:w="80" w:type="dxa"/>
              <w:end w:w="110" w:type="dxa"/>
            </w:tcMar>
          </w:tcPr>
          <w:p>
            <w:r>
              <w:rPr>
                <w:rFonts w:ascii="Inter" w:hAnsi="Inter"/>
                <w:b/>
                <w:sz w:val="17"/>
              </w:rPr>
              <w:t xml:space="preserve">Teach the question  </w:t>
            </w:r>
            <w:r>
              <w:rPr>
                <w:rFonts w:ascii="Inter" w:hAnsi="Inter"/>
                <w:color w:val="646A6E"/>
                <w:sz w:val="16"/>
              </w:rPr>
              <w:t>Explain that the forensic unit needs the investigative objective, not merely a requested extraction or tool name.</w:t>
            </w:r>
          </w:p>
        </w:tc>
      </w:tr>
    </w:tbl>
    <w:p>
      <w:pPr>
        <w:spacing w:after="0"/>
      </w:pPr>
    </w:p>
    <w:tbl>
      <w:tblPr>
        <w:tblW w:type="auto" w:w="0"/>
        <w:jc w:val="center"/>
        <w:tblLayout w:type="fixed"/>
        <w:tblLook w:firstColumn="1" w:firstRow="1" w:lastColumn="0" w:lastRow="0" w:noHBand="0" w:noVBand="1" w:val="04A0"/>
      </w:tblPr>
      <w:tblGrid>
        <w:gridCol w:w="778"/>
        <w:gridCol w:w="9662"/>
      </w:tblGrid>
      <w:tr>
        <w:tc>
          <w:tcPr>
            <w:tcW w:type="dxa" w:w="5227"/>
            <w:shd w:fill="9B7438"/>
            <w:tcMar>
              <w:top w:w="80" w:type="dxa"/>
              <w:start w:w="30" w:type="dxa"/>
              <w:bottom w:w="80" w:type="dxa"/>
              <w:end w:w="30" w:type="dxa"/>
            </w:tcMar>
          </w:tcPr>
          <w:p>
            <w:pPr>
              <w:jc w:val="center"/>
            </w:pPr>
            <w:r>
              <w:rPr>
                <w:rFonts w:ascii="Inter" w:hAnsi="Inter"/>
                <w:b/>
                <w:color w:val="FFFFFF"/>
                <w:sz w:val="17"/>
              </w:rPr>
              <w:t>06</w:t>
            </w:r>
          </w:p>
        </w:tc>
        <w:tc>
          <w:tcPr>
            <w:tcW w:type="dxa" w:w="5227"/>
            <w:shd w:fill="FAF9F6"/>
            <w:tcMar>
              <w:top w:w="80" w:type="dxa"/>
              <w:start w:w="110" w:type="dxa"/>
              <w:bottom w:w="80" w:type="dxa"/>
              <w:end w:w="110" w:type="dxa"/>
            </w:tcMar>
          </w:tcPr>
          <w:p>
            <w:r>
              <w:rPr>
                <w:rFonts w:ascii="Inter" w:hAnsi="Inter"/>
                <w:b/>
                <w:sz w:val="17"/>
              </w:rPr>
              <w:t xml:space="preserve">Publish one source  </w:t>
            </w:r>
            <w:r>
              <w:rPr>
                <w:rFonts w:ascii="Inter" w:hAnsi="Inter"/>
                <w:color w:val="646A6E"/>
                <w:sz w:val="16"/>
              </w:rPr>
              <w:t>Place the approved version in one controlled location and remove older copies from shared drives, forms libraries, and email templates.</w:t>
            </w:r>
          </w:p>
        </w:tc>
      </w:tr>
    </w:tbl>
    <w:p>
      <w:pPr>
        <w:spacing w:after="0"/>
      </w:pPr>
    </w:p>
    <w:tbl>
      <w:tblPr>
        <w:tblW w:type="auto" w:w="0"/>
        <w:jc w:val="center"/>
        <w:tblLayout w:type="fixed"/>
        <w:tblLook w:firstColumn="1" w:firstRow="1" w:lastColumn="0" w:lastRow="0" w:noHBand="0" w:noVBand="1" w:val="04A0"/>
      </w:tblPr>
      <w:tblGrid>
        <w:gridCol w:w="778"/>
        <w:gridCol w:w="9662"/>
      </w:tblGrid>
      <w:tr>
        <w:tc>
          <w:tcPr>
            <w:tcW w:type="dxa" w:w="5227"/>
            <w:shd w:fill="9B7438"/>
            <w:tcMar>
              <w:top w:w="80" w:type="dxa"/>
              <w:start w:w="30" w:type="dxa"/>
              <w:bottom w:w="80" w:type="dxa"/>
              <w:end w:w="30" w:type="dxa"/>
            </w:tcMar>
          </w:tcPr>
          <w:p>
            <w:pPr>
              <w:jc w:val="center"/>
            </w:pPr>
            <w:r>
              <w:rPr>
                <w:rFonts w:ascii="Inter" w:hAnsi="Inter"/>
                <w:b/>
                <w:color w:val="FFFFFF"/>
                <w:sz w:val="17"/>
              </w:rPr>
              <w:t>07</w:t>
            </w:r>
          </w:p>
        </w:tc>
        <w:tc>
          <w:tcPr>
            <w:tcW w:type="dxa" w:w="5227"/>
            <w:shd w:fill="FAF9F6"/>
            <w:tcMar>
              <w:top w:w="80" w:type="dxa"/>
              <w:start w:w="110" w:type="dxa"/>
              <w:bottom w:w="80" w:type="dxa"/>
              <w:end w:w="110" w:type="dxa"/>
            </w:tcMar>
          </w:tcPr>
          <w:p>
            <w:r>
              <w:rPr>
                <w:rFonts w:ascii="Inter" w:hAnsi="Inter"/>
                <w:b/>
                <w:sz w:val="17"/>
              </w:rPr>
              <w:t xml:space="preserve">Review after use  </w:t>
            </w:r>
            <w:r>
              <w:rPr>
                <w:rFonts w:ascii="Inter" w:hAnsi="Inter"/>
                <w:color w:val="646A6E"/>
                <w:sz w:val="16"/>
              </w:rPr>
              <w:t>Revisit the form after the pilot and on a scheduled basis. Change it when the workflow changes, not whenever one unusual case appears.</w:t>
            </w:r>
          </w:p>
        </w:tc>
      </w:tr>
    </w:tbl>
    <w:p>
      <w:pPr>
        <w:spacing w:after="0"/>
      </w:pPr>
    </w:p>
    <w:tbl>
      <w:tblPr>
        <w:tblW w:type="auto" w:w="0"/>
        <w:jc w:val="center"/>
        <w:tblLook w:firstColumn="1" w:firstRow="1" w:lastColumn="0" w:lastRow="0" w:noHBand="0" w:noVBand="1" w:val="04A0"/>
      </w:tblPr>
      <w:tblGrid>
        <w:gridCol w:w="10454"/>
      </w:tblGrid>
      <w:tr>
        <w:tc>
          <w:tcPr>
            <w:tcW w:type="dxa" w:w="10454"/>
            <w:tcMar>
              <w:top w:w="120" w:type="dxa"/>
              <w:start w:w="150" w:type="dxa"/>
              <w:bottom w:w="120" w:type="dxa"/>
              <w:end w:w="150" w:type="dxa"/>
            </w:tcMar>
            <w:shd w:fill="F3EFE6"/>
            <w:tcBorders>
              <w:top w:val="single" w:sz="8" w:color="9B7438"/>
              <w:left w:val="single" w:sz="4" w:color="C9C2B6"/>
              <w:bottom w:val="single" w:sz="4" w:color="C9C2B6"/>
              <w:right w:val="single" w:sz="4" w:color="C9C2B6"/>
            </w:tcBorders>
          </w:tcPr>
          <w:p>
            <w:pPr>
              <w:spacing w:after="40"/>
            </w:pPr>
            <w:r>
              <w:rPr>
                <w:rFonts w:ascii="Inter" w:hAnsi="Inter"/>
                <w:b/>
                <w:color w:val="9B7438"/>
                <w:sz w:val="15"/>
              </w:rPr>
              <w:t>MINIMUM TRAINING MESSAGE</w:t>
            </w:r>
          </w:p>
          <w:p>
            <w:pPr>
              <w:spacing w:after="0"/>
            </w:pPr>
            <w:r>
              <w:rPr>
                <w:rFonts w:ascii="Inter" w:hAnsi="Inter"/>
                <w:b w:val="0"/>
                <w:color w:val="1D1F20"/>
                <w:sz w:val="18"/>
              </w:rPr>
              <w:t>Describe the question. Identify the authority and limits. Tell the examiner what was submitted, what happened to it, what is time-sensitive, and who can clarify the request.</w:t>
            </w:r>
          </w:p>
        </w:tc>
      </w:tr>
    </w:tbl>
    <w:p>
      <w:r>
        <w:br w:type="page"/>
      </w:r>
    </w:p>
    <w:p>
      <w:pPr>
        <w:keepNext/>
        <w:spacing w:before="0" w:after="40"/>
      </w:pPr>
      <w:r>
        <w:rPr>
          <w:rFonts w:ascii="Inter" w:hAnsi="Inter"/>
          <w:b/>
          <w:color w:val="1D1F20"/>
          <w:sz w:val="58"/>
        </w:rPr>
        <w:t>Field Rationale</w:t>
      </w:r>
    </w:p>
    <w:p>
      <w:pPr>
        <w:keepNext/>
        <w:spacing w:before="0" w:after="160"/>
      </w:pPr>
      <w:r>
        <w:rPr>
          <w:rFonts w:ascii="Inter" w:hAnsi="Inter"/>
          <w:i/>
          <w:color w:val="646A6E"/>
          <w:sz w:val="21"/>
        </w:rPr>
        <w:t>Why the form asks what it asks</w:t>
      </w:r>
    </w:p>
    <w:tbl>
      <w:tblPr>
        <w:tblW w:type="auto" w:w="0"/>
        <w:jc w:val="center"/>
        <w:tblLayout w:type="fixed"/>
        <w:tblLook w:firstColumn="1" w:firstRow="1" w:lastColumn="0" w:lastRow="0" w:noHBand="0" w:noVBand="1" w:val="04A0"/>
      </w:tblPr>
      <w:tblGrid>
        <w:gridCol w:w="691"/>
        <w:gridCol w:w="9749"/>
      </w:tblGrid>
      <w:tr>
        <w:tc>
          <w:tcPr>
            <w:tcW w:type="dxa" w:w="5227"/>
            <w:shd w:fill="9B7438"/>
            <w:vAlign w:val="center"/>
            <w:tcMar>
              <w:top w:w="70" w:type="dxa"/>
              <w:start w:w="95" w:type="dxa"/>
              <w:bottom w:w="70" w:type="dxa"/>
              <w:end w:w="95" w:type="dxa"/>
            </w:tcMar>
            <w:tcBorders>
              <w:top w:val="nil"/>
              <w:left w:val="nil"/>
              <w:bottom w:val="nil"/>
              <w:right w:val="nil"/>
            </w:tcBorders>
          </w:tcPr>
          <w:p>
            <w:pPr>
              <w:jc w:val="center"/>
            </w:pPr>
            <w:r>
              <w:rPr>
                <w:rFonts w:ascii="Inter" w:hAnsi="Inter"/>
                <w:b/>
                <w:color w:val="FFFFFF"/>
                <w:sz w:val="16"/>
              </w:rPr>
              <w:t>04</w:t>
            </w:r>
          </w:p>
        </w:tc>
        <w:tc>
          <w:tcPr>
            <w:tcW w:type="dxa" w:w="5227"/>
            <w:shd w:fill="1D1F20"/>
            <w:vAlign w:val="center"/>
            <w:tcMar>
              <w:top w:w="70" w:type="dxa"/>
              <w:start w:w="95" w:type="dxa"/>
              <w:bottom w:w="70" w:type="dxa"/>
              <w:end w:w="95" w:type="dxa"/>
            </w:tcMar>
            <w:tcBorders>
              <w:top w:val="nil"/>
              <w:left w:val="nil"/>
              <w:bottom w:val="nil"/>
              <w:right w:val="nil"/>
            </w:tcBorders>
          </w:tcPr>
          <w:p>
            <w:r>
              <w:rPr>
                <w:rFonts w:ascii="Inter" w:hAnsi="Inter"/>
                <w:b/>
                <w:color w:val="FFFFFF"/>
                <w:sz w:val="18"/>
              </w:rPr>
              <w:t>HIGH-VALUE FIELDS</w:t>
            </w:r>
          </w:p>
        </w:tc>
      </w:tr>
    </w:tbl>
    <w:p>
      <w:pPr>
        <w:spacing w:after="0"/>
      </w:pPr>
    </w:p>
    <w:tbl>
      <w:tblPr>
        <w:tblW w:type="auto" w:w="0"/>
        <w:jc w:val="center"/>
        <w:tblLayout w:type="fixed"/>
        <w:tblLook w:firstColumn="1" w:firstRow="1" w:lastColumn="0" w:lastRow="0" w:noHBand="0" w:noVBand="1" w:val="04A0"/>
      </w:tblPr>
      <w:tblGrid>
        <w:gridCol w:w="3341"/>
        <w:gridCol w:w="7099"/>
      </w:tblGrid>
      <w:tr>
        <w:trPr>
          <w:tblHeader w:val="true"/>
        </w:trPr>
        <w:tc>
          <w:tcPr>
            <w:tcW w:type="dxa" w:w="5227"/>
            <w:shd w:fill="1D1F20"/>
            <w:tcMar>
              <w:top w:w="75" w:type="dxa"/>
              <w:start w:w="100" w:type="dxa"/>
              <w:bottom w:w="75" w:type="dxa"/>
              <w:end w:w="100" w:type="dxa"/>
            </w:tcMar>
          </w:tcPr>
          <w:p>
            <w:r>
              <w:rPr>
                <w:rFonts w:ascii="Inter" w:hAnsi="Inter"/>
                <w:b/>
                <w:color w:val="FFFFFF"/>
                <w:sz w:val="16"/>
              </w:rPr>
              <w:t>FIELD</w:t>
            </w:r>
          </w:p>
        </w:tc>
        <w:tc>
          <w:tcPr>
            <w:tcW w:type="dxa" w:w="5227"/>
            <w:shd w:fill="1D1F20"/>
            <w:tcMar>
              <w:top w:w="75" w:type="dxa"/>
              <w:start w:w="100" w:type="dxa"/>
              <w:bottom w:w="75" w:type="dxa"/>
              <w:end w:w="100" w:type="dxa"/>
            </w:tcMar>
          </w:tcPr>
          <w:p>
            <w:r>
              <w:rPr>
                <w:rFonts w:ascii="Inter" w:hAnsi="Inter"/>
                <w:b/>
                <w:color w:val="FFFFFF"/>
                <w:sz w:val="16"/>
              </w:rPr>
              <w:t>WHY IT MATTERS</w:t>
            </w:r>
          </w:p>
        </w:tc>
      </w:tr>
      <w:tr>
        <w:tc>
          <w:tcPr>
            <w:tcW w:type="dxa" w:w="3341"/>
            <w:tcMar>
              <w:top w:w="65" w:type="dxa"/>
              <w:start w:w="100" w:type="dxa"/>
              <w:bottom w:w="65" w:type="dxa"/>
              <w:end w:w="100" w:type="dxa"/>
            </w:tcMar>
            <w:tcBorders>
              <w:left w:val="single" w:sz="4" w:color="C9C2B6"/>
              <w:bottom w:val="single" w:sz="4" w:color="C9C2B6"/>
              <w:right w:val="single" w:sz="4" w:color="C9C2B6"/>
            </w:tcBorders>
            <w:shd w:fill="F8F5EE"/>
          </w:tcPr>
          <w:p>
            <w:r>
              <w:rPr>
                <w:rFonts w:ascii="Inter" w:hAnsi="Inter"/>
                <w:b/>
                <w:sz w:val="16"/>
              </w:rPr>
              <w:t>Question the examination should help answer</w:t>
            </w:r>
          </w:p>
        </w:tc>
        <w:tc>
          <w:tcPr>
            <w:tcW w:type="dxa" w:w="7099"/>
            <w:tcMar>
              <w:top w:w="65" w:type="dxa"/>
              <w:start w:w="100" w:type="dxa"/>
              <w:bottom w:w="65" w:type="dxa"/>
              <w:end w:w="100" w:type="dxa"/>
            </w:tcMar>
            <w:tcBorders>
              <w:left w:val="single" w:sz="4" w:color="C9C2B6"/>
              <w:bottom w:val="single" w:sz="4" w:color="C9C2B6"/>
              <w:right w:val="single" w:sz="4" w:color="C9C2B6"/>
            </w:tcBorders>
            <w:shd w:fill="F8F5EE"/>
          </w:tcPr>
          <w:p>
            <w:r>
              <w:rPr>
                <w:rFonts w:ascii="Inter" w:hAnsi="Inter"/>
                <w:sz w:val="16"/>
              </w:rPr>
              <w:t>Turns a tool request into an investigative objective and gives the examiner a basis for prioritization, searching, interpretation, and reporting.</w:t>
            </w:r>
          </w:p>
        </w:tc>
      </w:tr>
      <w:tr>
        <w:tc>
          <w:tcPr>
            <w:tcW w:type="dxa" w:w="3341"/>
            <w:tcMar>
              <w:top w:w="65" w:type="dxa"/>
              <w:start w:w="100" w:type="dxa"/>
              <w:bottom w:w="65" w:type="dxa"/>
              <w:end w:w="100" w:type="dxa"/>
            </w:tcMar>
            <w:tcBorders>
              <w:left w:val="single" w:sz="4" w:color="C9C2B6"/>
              <w:bottom w:val="single" w:sz="4" w:color="C9C2B6"/>
              <w:right w:val="single" w:sz="4" w:color="C9C2B6"/>
            </w:tcBorders>
          </w:tcPr>
          <w:p>
            <w:r>
              <w:rPr>
                <w:rFonts w:ascii="Inter" w:hAnsi="Inter"/>
                <w:b/>
                <w:sz w:val="16"/>
              </w:rPr>
              <w:t>Scope and express limitations</w:t>
            </w:r>
          </w:p>
        </w:tc>
        <w:tc>
          <w:tcPr>
            <w:tcW w:type="dxa" w:w="7099"/>
            <w:tcMar>
              <w:top w:w="65" w:type="dxa"/>
              <w:start w:w="100" w:type="dxa"/>
              <w:bottom w:w="65" w:type="dxa"/>
              <w:end w:w="100" w:type="dxa"/>
            </w:tcMar>
            <w:tcBorders>
              <w:left w:val="single" w:sz="4" w:color="C9C2B6"/>
              <w:bottom w:val="single" w:sz="4" w:color="C9C2B6"/>
              <w:right w:val="single" w:sz="4" w:color="C9C2B6"/>
            </w:tcBorders>
          </w:tcPr>
          <w:p>
            <w:r>
              <w:rPr>
                <w:rFonts w:ascii="Inter" w:hAnsi="Inter"/>
                <w:sz w:val="16"/>
              </w:rPr>
              <w:t>Makes boundaries visible at intake rather than after examination has begun.</w:t>
            </w:r>
          </w:p>
        </w:tc>
      </w:tr>
      <w:tr>
        <w:tc>
          <w:tcPr>
            <w:tcW w:type="dxa" w:w="3341"/>
            <w:tcMar>
              <w:top w:w="65" w:type="dxa"/>
              <w:start w:w="100" w:type="dxa"/>
              <w:bottom w:w="65" w:type="dxa"/>
              <w:end w:w="100" w:type="dxa"/>
            </w:tcMar>
            <w:tcBorders>
              <w:left w:val="single" w:sz="4" w:color="C9C2B6"/>
              <w:bottom w:val="single" w:sz="4" w:color="C9C2B6"/>
              <w:right w:val="single" w:sz="4" w:color="C9C2B6"/>
            </w:tcBorders>
            <w:shd w:fill="F8F5EE"/>
          </w:tcPr>
          <w:p>
            <w:r>
              <w:rPr>
                <w:rFonts w:ascii="Inter" w:hAnsi="Inter"/>
                <w:b/>
                <w:sz w:val="16"/>
              </w:rPr>
              <w:t>Known facts and time-sensitive concerns</w:t>
            </w:r>
          </w:p>
        </w:tc>
        <w:tc>
          <w:tcPr>
            <w:tcW w:type="dxa" w:w="7099"/>
            <w:tcMar>
              <w:top w:w="65" w:type="dxa"/>
              <w:start w:w="100" w:type="dxa"/>
              <w:bottom w:w="65" w:type="dxa"/>
              <w:end w:w="100" w:type="dxa"/>
            </w:tcMar>
            <w:tcBorders>
              <w:left w:val="single" w:sz="4" w:color="C9C2B6"/>
              <w:bottom w:val="single" w:sz="4" w:color="C9C2B6"/>
              <w:right w:val="single" w:sz="4" w:color="C9C2B6"/>
            </w:tcBorders>
            <w:shd w:fill="F8F5EE"/>
          </w:tcPr>
          <w:p>
            <w:r>
              <w:rPr>
                <w:rFonts w:ascii="Inter" w:hAnsi="Inter"/>
                <w:sz w:val="16"/>
              </w:rPr>
              <w:t>Surfaces remote-wipe risk, disappearing data, hearings, safety issues, or operational deadlines that may change the approach.</w:t>
            </w:r>
          </w:p>
        </w:tc>
      </w:tr>
      <w:tr>
        <w:tc>
          <w:tcPr>
            <w:tcW w:type="dxa" w:w="3341"/>
            <w:tcMar>
              <w:top w:w="65" w:type="dxa"/>
              <w:start w:w="100" w:type="dxa"/>
              <w:bottom w:w="65" w:type="dxa"/>
              <w:end w:w="100" w:type="dxa"/>
            </w:tcMar>
            <w:tcBorders>
              <w:left w:val="single" w:sz="4" w:color="C9C2B6"/>
              <w:bottom w:val="single" w:sz="4" w:color="C9C2B6"/>
              <w:right w:val="single" w:sz="4" w:color="C9C2B6"/>
            </w:tcBorders>
          </w:tcPr>
          <w:p>
            <w:r>
              <w:rPr>
                <w:rFonts w:ascii="Inter" w:hAnsi="Inter"/>
                <w:b/>
                <w:sz w:val="16"/>
              </w:rPr>
              <w:t>Device state and handling history</w:t>
            </w:r>
          </w:p>
        </w:tc>
        <w:tc>
          <w:tcPr>
            <w:tcW w:type="dxa" w:w="7099"/>
            <w:tcMar>
              <w:top w:w="65" w:type="dxa"/>
              <w:start w:w="100" w:type="dxa"/>
              <w:bottom w:w="65" w:type="dxa"/>
              <w:end w:w="100" w:type="dxa"/>
            </w:tcMar>
            <w:tcBorders>
              <w:left w:val="single" w:sz="4" w:color="C9C2B6"/>
              <w:bottom w:val="single" w:sz="4" w:color="C9C2B6"/>
              <w:right w:val="single" w:sz="4" w:color="C9C2B6"/>
            </w:tcBorders>
          </w:tcPr>
          <w:p>
            <w:r>
              <w:rPr>
                <w:rFonts w:ascii="Inter" w:hAnsi="Inter"/>
                <w:sz w:val="16"/>
              </w:rPr>
              <w:t>Documents whether the item was powered, networked, accessed, isolated, damaged, wet, or changed before submission.</w:t>
            </w:r>
          </w:p>
        </w:tc>
      </w:tr>
      <w:tr>
        <w:tc>
          <w:tcPr>
            <w:tcW w:type="dxa" w:w="3341"/>
            <w:tcMar>
              <w:top w:w="65" w:type="dxa"/>
              <w:start w:w="100" w:type="dxa"/>
              <w:bottom w:w="65" w:type="dxa"/>
              <w:end w:w="100" w:type="dxa"/>
            </w:tcMar>
            <w:tcBorders>
              <w:left w:val="single" w:sz="4" w:color="C9C2B6"/>
              <w:bottom w:val="single" w:sz="4" w:color="C9C2B6"/>
              <w:right w:val="single" w:sz="4" w:color="C9C2B6"/>
            </w:tcBorders>
            <w:shd w:fill="F8F5EE"/>
          </w:tcPr>
          <w:p>
            <w:r>
              <w:rPr>
                <w:rFonts w:ascii="Inter" w:hAnsi="Inter"/>
                <w:b/>
                <w:sz w:val="16"/>
              </w:rPr>
              <w:t>Known contacts, accounts, keywords, and dates</w:t>
            </w:r>
          </w:p>
        </w:tc>
        <w:tc>
          <w:tcPr>
            <w:tcW w:type="dxa" w:w="7099"/>
            <w:tcMar>
              <w:top w:w="65" w:type="dxa"/>
              <w:start w:w="100" w:type="dxa"/>
              <w:bottom w:w="65" w:type="dxa"/>
              <w:end w:w="100" w:type="dxa"/>
            </w:tcMar>
            <w:tcBorders>
              <w:left w:val="single" w:sz="4" w:color="C9C2B6"/>
              <w:bottom w:val="single" w:sz="4" w:color="C9C2B6"/>
              <w:right w:val="single" w:sz="4" w:color="C9C2B6"/>
            </w:tcBorders>
            <w:shd w:fill="F8F5EE"/>
          </w:tcPr>
          <w:p>
            <w:r>
              <w:rPr>
                <w:rFonts w:ascii="Inter" w:hAnsi="Inter"/>
                <w:sz w:val="16"/>
              </w:rPr>
              <w:t>Gives the examiner defensible targets instead of an undefined request to search everything.</w:t>
            </w:r>
          </w:p>
        </w:tc>
      </w:tr>
      <w:tr>
        <w:tc>
          <w:tcPr>
            <w:tcW w:type="dxa" w:w="3341"/>
            <w:tcMar>
              <w:top w:w="65" w:type="dxa"/>
              <w:start w:w="100" w:type="dxa"/>
              <w:bottom w:w="65" w:type="dxa"/>
              <w:end w:w="100" w:type="dxa"/>
            </w:tcMar>
            <w:tcBorders>
              <w:left w:val="single" w:sz="4" w:color="C9C2B6"/>
              <w:bottom w:val="single" w:sz="4" w:color="C9C2B6"/>
              <w:right w:val="single" w:sz="4" w:color="C9C2B6"/>
            </w:tcBorders>
          </w:tcPr>
          <w:p>
            <w:r>
              <w:rPr>
                <w:rFonts w:ascii="Inter" w:hAnsi="Inter"/>
                <w:b/>
                <w:sz w:val="16"/>
              </w:rPr>
              <w:t>Unit acceptance and clarification</w:t>
            </w:r>
          </w:p>
        </w:tc>
        <w:tc>
          <w:tcPr>
            <w:tcW w:type="dxa" w:w="7099"/>
            <w:tcMar>
              <w:top w:w="65" w:type="dxa"/>
              <w:start w:w="100" w:type="dxa"/>
              <w:bottom w:w="65" w:type="dxa"/>
              <w:end w:w="100" w:type="dxa"/>
            </w:tcMar>
            <w:tcBorders>
              <w:left w:val="single" w:sz="4" w:color="C9C2B6"/>
              <w:bottom w:val="single" w:sz="4" w:color="C9C2B6"/>
              <w:right w:val="single" w:sz="4" w:color="C9C2B6"/>
            </w:tcBorders>
          </w:tcPr>
          <w:p>
            <w:r>
              <w:rPr>
                <w:rFonts w:ascii="Inter" w:hAnsi="Inter"/>
                <w:sz w:val="16"/>
              </w:rPr>
              <w:t>Creates a visible handoff where scope can be confirmed, missing information recorded, and the request assigned to the local queue or case system.</w:t>
            </w:r>
          </w:p>
        </w:tc>
      </w:tr>
    </w:tbl>
    <w:tbl>
      <w:tblPr>
        <w:tblW w:type="auto" w:w="0"/>
        <w:jc w:val="center"/>
        <w:tblLayout w:type="fixed"/>
        <w:tblLook w:firstColumn="1" w:firstRow="1" w:lastColumn="0" w:lastRow="0" w:noHBand="0" w:noVBand="1" w:val="04A0"/>
      </w:tblPr>
      <w:tblGrid>
        <w:gridCol w:w="691"/>
        <w:gridCol w:w="9749"/>
      </w:tblGrid>
      <w:tr>
        <w:tc>
          <w:tcPr>
            <w:tcW w:type="dxa" w:w="5227"/>
            <w:shd w:fill="9B7438"/>
            <w:vAlign w:val="center"/>
            <w:tcMar>
              <w:top w:w="70" w:type="dxa"/>
              <w:start w:w="95" w:type="dxa"/>
              <w:bottom w:w="70" w:type="dxa"/>
              <w:end w:w="95" w:type="dxa"/>
            </w:tcMar>
            <w:tcBorders>
              <w:top w:val="nil"/>
              <w:left w:val="nil"/>
              <w:bottom w:val="nil"/>
              <w:right w:val="nil"/>
            </w:tcBorders>
          </w:tcPr>
          <w:p>
            <w:pPr>
              <w:jc w:val="center"/>
            </w:pPr>
            <w:r>
              <w:rPr>
                <w:rFonts w:ascii="Inter" w:hAnsi="Inter"/>
                <w:b/>
                <w:color w:val="FFFFFF"/>
                <w:sz w:val="16"/>
              </w:rPr>
              <w:t>05</w:t>
            </w:r>
          </w:p>
        </w:tc>
        <w:tc>
          <w:tcPr>
            <w:tcW w:type="dxa" w:w="5227"/>
            <w:shd w:fill="1D1F20"/>
            <w:vAlign w:val="center"/>
            <w:tcMar>
              <w:top w:w="70" w:type="dxa"/>
              <w:start w:w="95" w:type="dxa"/>
              <w:bottom w:w="70" w:type="dxa"/>
              <w:end w:w="95" w:type="dxa"/>
            </w:tcMar>
            <w:tcBorders>
              <w:top w:val="nil"/>
              <w:left w:val="nil"/>
              <w:bottom w:val="nil"/>
              <w:right w:val="nil"/>
            </w:tcBorders>
          </w:tcPr>
          <w:p>
            <w:r>
              <w:rPr>
                <w:rFonts w:ascii="Inter" w:hAnsi="Inter"/>
                <w:b/>
                <w:color w:val="FFFFFF"/>
                <w:sz w:val="18"/>
              </w:rPr>
              <w:t>VERSION AND RECORDS DISCIPLINE</w:t>
            </w:r>
          </w:p>
        </w:tc>
      </w:tr>
    </w:tbl>
    <w:p>
      <w:pPr>
        <w:spacing w:after="0"/>
      </w:pPr>
    </w:p>
    <w:p>
      <w:pPr>
        <w:pStyle w:val="ListBullet"/>
        <w:spacing w:after="40" w:line="250" w:lineRule="auto"/>
        <w:ind w:left="288" w:hanging="187"/>
      </w:pPr>
      <w:r>
        <w:rPr>
          <w:rFonts w:ascii="Inter" w:hAnsi="Inter"/>
          <w:sz w:val="17"/>
        </w:rPr>
        <w:t>Place a version number and effective date on the approved local form.</w:t>
      </w:r>
    </w:p>
    <w:p>
      <w:pPr>
        <w:pStyle w:val="ListBullet"/>
        <w:spacing w:after="40" w:line="250" w:lineRule="auto"/>
        <w:ind w:left="288" w:hanging="187"/>
      </w:pPr>
      <w:r>
        <w:rPr>
          <w:rFonts w:ascii="Inter" w:hAnsi="Inter"/>
          <w:sz w:val="17"/>
        </w:rPr>
        <w:t>Keep a brief change log describing what changed, who approved it, and when the new version became effective.</w:t>
      </w:r>
    </w:p>
    <w:p>
      <w:pPr>
        <w:pStyle w:val="ListBullet"/>
        <w:spacing w:after="40" w:line="250" w:lineRule="auto"/>
        <w:ind w:left="288" w:hanging="187"/>
      </w:pPr>
      <w:r>
        <w:rPr>
          <w:rFonts w:ascii="Inter" w:hAnsi="Inter"/>
          <w:sz w:val="17"/>
        </w:rPr>
        <w:t>State where completed requests are stored and how they relate to evidence, case, queue, and examination records.</w:t>
      </w:r>
    </w:p>
    <w:p>
      <w:pPr>
        <w:pStyle w:val="ListBullet"/>
        <w:spacing w:after="40" w:line="250" w:lineRule="auto"/>
        <w:ind w:left="288" w:hanging="187"/>
      </w:pPr>
      <w:r>
        <w:rPr>
          <w:rFonts w:ascii="Inter" w:hAnsi="Inter"/>
          <w:sz w:val="17"/>
        </w:rPr>
        <w:t>Remove superseded copies from common download locations and communicate the change to requesters.</w:t>
      </w:r>
    </w:p>
    <w:p>
      <w:pPr>
        <w:pStyle w:val="ListBullet"/>
        <w:spacing w:after="40" w:line="250" w:lineRule="auto"/>
        <w:ind w:left="288" w:hanging="187"/>
      </w:pPr>
      <w:r>
        <w:rPr>
          <w:rFonts w:ascii="Inter" w:hAnsi="Inter"/>
          <w:sz w:val="17"/>
        </w:rPr>
        <w:t>Review the form when authority, services, tools, routing, records obligations, or evidence systems change.</w:t>
      </w:r>
    </w:p>
    <w:tbl>
      <w:tblPr>
        <w:tblW w:type="auto" w:w="0"/>
        <w:jc w:val="center"/>
        <w:tblLook w:firstColumn="1" w:firstRow="1" w:lastColumn="0" w:lastRow="0" w:noHBand="0" w:noVBand="1" w:val="04A0"/>
      </w:tblPr>
      <w:tblGrid>
        <w:gridCol w:w="10454"/>
      </w:tblGrid>
      <w:tr>
        <w:tc>
          <w:tcPr>
            <w:tcW w:type="dxa" w:w="10454"/>
            <w:tcMar>
              <w:top w:w="120" w:type="dxa"/>
              <w:start w:w="150" w:type="dxa"/>
              <w:bottom w:w="120" w:type="dxa"/>
              <w:end w:w="150" w:type="dxa"/>
            </w:tcMar>
            <w:shd w:fill="1D1F20"/>
            <w:tcBorders>
              <w:top w:val="single" w:sz="8" w:color="9B7438"/>
              <w:left w:val="single" w:sz="4" w:color="C9C2B6"/>
              <w:bottom w:val="single" w:sz="4" w:color="C9C2B6"/>
              <w:right w:val="single" w:sz="4" w:color="C9C2B6"/>
            </w:tcBorders>
          </w:tcPr>
          <w:p>
            <w:pPr>
              <w:spacing w:after="40"/>
            </w:pPr>
            <w:r>
              <w:rPr>
                <w:rFonts w:ascii="Inter" w:hAnsi="Inter"/>
                <w:b/>
                <w:color w:val="9B7438"/>
                <w:sz w:val="15"/>
              </w:rPr>
              <w:t>LOCAL REVIEW REQUIRED</w:t>
            </w:r>
          </w:p>
          <w:p>
            <w:pPr>
              <w:spacing w:after="0"/>
            </w:pPr>
            <w:r>
              <w:rPr>
                <w:rFonts w:ascii="Inter" w:hAnsi="Inter"/>
                <w:b/>
                <w:color w:val="FFFFFF"/>
                <w:sz w:val="20"/>
              </w:rPr>
              <w:t>Before operational use, review the adapted form and guide against applicable law, agency policy, records requirements, prosecutor expectations, evidence procedures, and the services the forensic unit actually provides.</w:t>
            </w:r>
          </w:p>
        </w:tc>
      </w:tr>
    </w:tbl>
    <w:sectPr w:rsidR="00FC693F" w:rsidRPr="0006063C" w:rsidSect="00034616">
      <w:headerReference w:type="default" r:id="rId9"/>
      <w:footerReference w:type="default" r:id="rId10"/>
      <w:pgSz w:w="12240" w:h="15840"/>
      <w:pgMar w:top="749" w:right="893" w:bottom="720" w:left="893" w:header="288" w:footer="34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Inter" w:hAnsi="Inter"/>
        <w:color w:val="646A6E"/>
        <w:sz w:val="14"/>
      </w:rPr>
      <w:t>Forge &amp; Verse free release  |  Intake Kit v1.2  |  Adapt to agency policy, law, records requirements, and approved workflows.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768"/>
      <w:gridCol w:w="3672"/>
    </w:tblGrid>
    <w:tr>
      <w:tc>
        <w:tcPr>
          <w:tcW w:type="dxa" w:w="5220"/>
          <w:tcMar>
            <w:top w:w="0" w:type="dxa"/>
            <w:start w:w="0" w:type="dxa"/>
            <w:bottom w:w="20" w:type="dxa"/>
            <w:end w:w="0" w:type="dxa"/>
          </w:tcMar>
          <w:tcBorders>
            <w:bottom w:val="single" w:sz="8" w:color="9B7438"/>
          </w:tcBorders>
        </w:tcPr>
        <w:p>
          <w:pPr>
            <w:jc w:val="left"/>
          </w:pPr>
          <w:r>
            <w:rPr>
              <w:rFonts w:ascii="Inter" w:hAnsi="Inter"/>
              <w:b/>
              <w:color w:val="9B7438"/>
              <w:sz w:val="16"/>
            </w:rPr>
            <w:t>DIGITAL FORENSICS</w:t>
          </w:r>
        </w:p>
      </w:tc>
      <w:tc>
        <w:tcPr>
          <w:tcW w:type="dxa" w:w="5220"/>
          <w:tcMar>
            <w:top w:w="0" w:type="dxa"/>
            <w:start w:w="0" w:type="dxa"/>
            <w:bottom w:w="20" w:type="dxa"/>
            <w:end w:w="0" w:type="dxa"/>
          </w:tcMar>
          <w:tcBorders>
            <w:bottom w:val="single" w:sz="8" w:color="9B7438"/>
          </w:tcBorders>
        </w:tcPr>
        <w:p>
          <w:pPr>
            <w:jc w:val="right"/>
          </w:pPr>
          <w:r>
            <w:rPr>
              <w:rFonts w:ascii="Inter" w:hAnsi="Inter"/>
              <w:b/>
              <w:color w:val="1D1F20"/>
              <w:sz w:val="16"/>
            </w:rPr>
            <w:t>FORGE &amp; VERSE</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Inter" w:hAnsi="Inter"/>
      <w:color w:val="1D1F20"/>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ascii="Inter" w:hAnsi="Inter"/>
      <w:b/>
      <w:bCs/>
      <w:color w:val="1D1F20"/>
      <w:sz w:val="36"/>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Inter" w:hAnsi="Inter"/>
      <w:b/>
      <w:bCs/>
      <w:color w:val="1D1F20"/>
      <w:sz w:val="23"/>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Inter" w:hAnsi="Inter"/>
      <w:b/>
      <w:bCs/>
      <w:color w:val="9B7438"/>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60" w:line="240" w:lineRule="auto" w:before="0"/>
      <w:contextualSpacing/>
    </w:pPr>
    <w:rPr>
      <w:rFonts w:asciiTheme="majorHAnsi" w:eastAsiaTheme="majorEastAsia" w:hAnsiTheme="majorHAnsi" w:cstheme="majorBidi" w:ascii="Inter" w:hAnsi="Inter"/>
      <w:b/>
      <w:color w:val="1D1F20"/>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140" w:after="60"/>
    </w:pPr>
    <w:rPr>
      <w:rFonts w:asciiTheme="majorHAnsi" w:eastAsiaTheme="majorEastAsia" w:hAnsiTheme="majorHAnsi" w:cstheme="majorBidi" w:ascii="Inter" w:hAnsi="Inter"/>
      <w:b w:val="0"/>
      <w:i/>
      <w:iCs/>
      <w:color w:val="646A6E"/>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Forensics Intake Kit Implementation Guide</dc:title>
  <dc:subject>Guide for adapting and deploying the Forge &amp; Verse intake release</dc:subject>
  <dc:creator>Forge &amp; Verse</dc:creator>
  <cp:keywords>digital forensics, intake, request, law enforcement, evidence</cp:keywords>
  <dc:description>Forge &amp; Verse free operational release. Adapt to local policy and approved workflows.</dc:description>
  <cp:lastModifiedBy/>
  <cp:revision>1</cp:revision>
  <dcterms:created xsi:type="dcterms:W3CDTF">2013-12-23T23:15:00Z</dcterms:created>
  <dcterms:modified xsi:type="dcterms:W3CDTF">2013-12-23T23:15:00Z</dcterms:modified>
  <cp:category/>
</cp:coreProperties>
</file>